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3023B973"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100</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956879">
        <w:rPr>
          <w:rFonts w:eastAsia="宋体" w:cs="Arial"/>
          <w:lang w:eastAsia="zh-CN"/>
        </w:rPr>
        <w:t>12867</w:t>
      </w:r>
      <w:r w:rsidRPr="00C94DBE">
        <w:rPr>
          <w:rFonts w:eastAsia="宋体" w:cs="Arial"/>
          <w:lang w:eastAsia="zh-CN"/>
        </w:rPr>
        <w:t xml:space="preserve">                                     </w:t>
      </w:r>
      <w:r>
        <w:rPr>
          <w:rFonts w:eastAsia="宋体" w:cs="Arial"/>
          <w:lang w:eastAsia="zh-CN"/>
        </w:rPr>
        <w:t xml:space="preserve">                             </w:t>
      </w:r>
    </w:p>
    <w:p w14:paraId="4D5D8709" w14:textId="7E95AB6E"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333C86">
        <w:rPr>
          <w:rFonts w:cs="Arial"/>
        </w:rPr>
        <w:t>16</w:t>
      </w:r>
      <w:r w:rsidRPr="007144F1">
        <w:rPr>
          <w:rFonts w:cs="Arial"/>
          <w:vertAlign w:val="superscript"/>
        </w:rPr>
        <w:t>th</w:t>
      </w:r>
      <w:r w:rsidRPr="00051CD8">
        <w:rPr>
          <w:rFonts w:cs="Arial"/>
        </w:rPr>
        <w:t>–</w:t>
      </w:r>
      <w:r w:rsidRPr="00051CD8">
        <w:rPr>
          <w:rFonts w:cs="Arial" w:hint="eastAsia"/>
        </w:rPr>
        <w:t xml:space="preserve"> </w:t>
      </w:r>
      <w:r w:rsidR="00333C86">
        <w:rPr>
          <w:rFonts w:eastAsiaTheme="minorEastAsia" w:cs="Arial"/>
          <w:lang w:eastAsia="zh-CN"/>
        </w:rPr>
        <w:t>27</w:t>
      </w:r>
      <w:r w:rsidRPr="00F51A98">
        <w:rPr>
          <w:rFonts w:eastAsiaTheme="minorEastAsia" w:cs="Arial" w:hint="eastAsia"/>
          <w:vertAlign w:val="superscript"/>
          <w:lang w:eastAsia="zh-CN"/>
        </w:rPr>
        <w:t>th</w:t>
      </w:r>
      <w:r>
        <w:rPr>
          <w:rFonts w:eastAsiaTheme="minorEastAsia" w:cs="Arial"/>
          <w:lang w:eastAsia="zh-CN"/>
        </w:rPr>
        <w:t xml:space="preserve"> </w:t>
      </w:r>
      <w:r w:rsidR="00333C86">
        <w:rPr>
          <w:rFonts w:eastAsiaTheme="minorEastAsia" w:cs="Arial"/>
          <w:lang w:eastAsia="zh-CN"/>
        </w:rPr>
        <w:t>Aug</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7D2206AA"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427987">
        <w:rPr>
          <w:rFonts w:ascii="Arial" w:eastAsia="宋体" w:hAnsi="Arial" w:cs="Arial"/>
          <w:b/>
          <w:noProof/>
          <w:kern w:val="0"/>
          <w:sz w:val="22"/>
          <w:szCs w:val="22"/>
          <w:lang w:val="en-GB"/>
        </w:rPr>
        <w:t>9.</w:t>
      </w:r>
      <w:r w:rsidR="009E31A4">
        <w:rPr>
          <w:rFonts w:ascii="Arial" w:eastAsia="宋体" w:hAnsi="Arial" w:cs="Arial"/>
          <w:b/>
          <w:noProof/>
          <w:kern w:val="0"/>
          <w:sz w:val="22"/>
          <w:szCs w:val="22"/>
          <w:lang w:val="en-GB"/>
        </w:rPr>
        <w:t>17</w:t>
      </w:r>
      <w:r w:rsidR="0066418A">
        <w:rPr>
          <w:rFonts w:ascii="Arial" w:eastAsia="宋体" w:hAnsi="Arial" w:cs="Arial"/>
          <w:b/>
          <w:noProof/>
          <w:kern w:val="0"/>
          <w:sz w:val="22"/>
          <w:szCs w:val="22"/>
          <w:lang w:val="en-GB"/>
        </w:rPr>
        <w:t>.</w:t>
      </w:r>
      <w:r w:rsidR="00805A5C">
        <w:rPr>
          <w:rFonts w:ascii="Arial" w:eastAsia="宋体" w:hAnsi="Arial" w:cs="Arial"/>
          <w:b/>
          <w:noProof/>
          <w:kern w:val="0"/>
          <w:sz w:val="22"/>
          <w:szCs w:val="22"/>
          <w:lang w:val="en-GB"/>
        </w:rPr>
        <w:t>2.1</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6D2693B4"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9549A7">
        <w:rPr>
          <w:rFonts w:ascii="Arial" w:eastAsia="宋体" w:hAnsi="Arial" w:cs="Arial"/>
          <w:b/>
          <w:noProof/>
          <w:kern w:val="0"/>
          <w:sz w:val="22"/>
          <w:lang w:val="en-GB"/>
        </w:rPr>
        <w:t>Simultanous operation</w:t>
      </w:r>
      <w:r w:rsidR="006C3751">
        <w:rPr>
          <w:rFonts w:ascii="Arial" w:eastAsia="宋体" w:hAnsi="Arial" w:cs="Arial"/>
          <w:b/>
          <w:noProof/>
          <w:kern w:val="0"/>
          <w:sz w:val="22"/>
          <w:lang w:val="en-GB"/>
        </w:rPr>
        <w:t xml:space="preserve"> </w:t>
      </w:r>
      <w:r w:rsidR="009549A7">
        <w:rPr>
          <w:rFonts w:ascii="Arial" w:eastAsia="宋体" w:hAnsi="Arial" w:cs="Arial"/>
          <w:b/>
          <w:noProof/>
          <w:kern w:val="0"/>
          <w:sz w:val="22"/>
          <w:lang w:val="en-GB"/>
        </w:rPr>
        <w:t>on</w:t>
      </w:r>
      <w:r w:rsidR="006C3751">
        <w:rPr>
          <w:rFonts w:ascii="Arial" w:eastAsia="宋体" w:hAnsi="Arial" w:cs="Arial"/>
          <w:b/>
          <w:noProof/>
          <w:kern w:val="0"/>
          <w:sz w:val="22"/>
          <w:lang w:val="en-GB"/>
        </w:rPr>
        <w:t xml:space="preserve"> IAB</w:t>
      </w:r>
      <w:r w:rsidR="009549A7">
        <w:rPr>
          <w:rFonts w:ascii="Arial" w:eastAsia="宋体" w:hAnsi="Arial" w:cs="Arial"/>
          <w:b/>
          <w:noProof/>
          <w:kern w:val="0"/>
          <w:sz w:val="22"/>
          <w:lang w:val="en-GB"/>
        </w:rPr>
        <w:t>-node’s child and parent links</w:t>
      </w:r>
      <w:r>
        <w:rPr>
          <w:rFonts w:ascii="Arial" w:eastAsia="宋体" w:hAnsi="Arial" w:cs="Arial"/>
          <w:b/>
          <w:noProof/>
          <w:kern w:val="0"/>
          <w:sz w:val="22"/>
          <w:lang w:val="en-GB"/>
        </w:rPr>
        <w:t xml:space="preserve">  </w:t>
      </w:r>
    </w:p>
    <w:p w14:paraId="460F64DD" w14:textId="17BCEEA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805A5C">
        <w:rPr>
          <w:rFonts w:ascii="Arial" w:eastAsia="宋体" w:hAnsi="Arial" w:cs="Arial"/>
          <w:b/>
          <w:noProof/>
          <w:kern w:val="0"/>
          <w:sz w:val="22"/>
          <w:szCs w:val="22"/>
          <w:lang w:val="en-GB"/>
        </w:rPr>
        <w:t>Discussion</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61AC7A22" w14:textId="200BEA2F" w:rsidR="006C3751" w:rsidRPr="006C3751" w:rsidRDefault="006C3751" w:rsidP="004E338D">
      <w:r w:rsidRPr="006C3751">
        <w:t xml:space="preserve">In RAN4#99e meeting it is concluded that as below for </w:t>
      </w:r>
      <w:r w:rsidRPr="006C3751">
        <w:rPr>
          <w:color w:val="000000" w:themeColor="text1"/>
          <w:lang w:eastAsia="ko-KR"/>
        </w:rPr>
        <w:t>simultaneous operation of IAB-node’s child and parent links by SDM</w:t>
      </w:r>
    </w:p>
    <w:p w14:paraId="26C68031" w14:textId="5BBF7C2C" w:rsidR="006C3751" w:rsidRPr="00F62F8C" w:rsidRDefault="006C3751" w:rsidP="006C3751">
      <w:pPr>
        <w:rPr>
          <w:b/>
          <w:color w:val="000000" w:themeColor="text1"/>
          <w:lang w:eastAsia="ko-KR"/>
        </w:rPr>
      </w:pPr>
    </w:p>
    <w:tbl>
      <w:tblPr>
        <w:tblStyle w:val="a6"/>
        <w:tblW w:w="0" w:type="auto"/>
        <w:tblLook w:val="04A0" w:firstRow="1" w:lastRow="0" w:firstColumn="1" w:lastColumn="0" w:noHBand="0" w:noVBand="1"/>
      </w:tblPr>
      <w:tblGrid>
        <w:gridCol w:w="10456"/>
      </w:tblGrid>
      <w:tr w:rsidR="006C3751" w14:paraId="602006F4" w14:textId="77777777" w:rsidTr="006A75F3">
        <w:tc>
          <w:tcPr>
            <w:tcW w:w="10456" w:type="dxa"/>
          </w:tcPr>
          <w:p w14:paraId="283094A5" w14:textId="77777777" w:rsidR="006C3751" w:rsidRPr="00BD5415" w:rsidRDefault="006C3751" w:rsidP="006A75F3">
            <w:pPr>
              <w:rPr>
                <w:rFonts w:ascii="Arial" w:hAnsi="Arial" w:cs="Arial"/>
                <w:b/>
                <w:sz w:val="16"/>
                <w:szCs w:val="16"/>
                <w:lang w:val="en-GB"/>
              </w:rPr>
            </w:pPr>
            <w:r w:rsidRPr="00BD5415">
              <w:rPr>
                <w:rFonts w:ascii="Arial" w:hAnsi="Arial" w:cs="Arial"/>
                <w:b/>
                <w:sz w:val="16"/>
                <w:szCs w:val="16"/>
                <w:highlight w:val="green"/>
                <w:lang w:val="en-GB"/>
              </w:rPr>
              <w:t>Agreement:</w:t>
            </w:r>
          </w:p>
          <w:p w14:paraId="6AC3444C" w14:textId="2B51C17A" w:rsidR="006C3751" w:rsidRPr="00F62F8C" w:rsidRDefault="006C3751" w:rsidP="006A75F3">
            <w:pPr>
              <w:spacing w:after="120"/>
              <w:rPr>
                <w:sz w:val="20"/>
                <w:szCs w:val="20"/>
              </w:rPr>
            </w:pPr>
            <w:r w:rsidRPr="00BD5415">
              <w:rPr>
                <w:rFonts w:ascii="Arial" w:eastAsia="宋体" w:hAnsi="Arial" w:cs="Arial"/>
                <w:color w:val="000000" w:themeColor="text1"/>
                <w:sz w:val="16"/>
                <w:szCs w:val="16"/>
              </w:rPr>
              <w:t>No RF requirement impact identified on simultaneous operation including MT TX/DU TX, MT RX/DU RX, MT TX/DU RX and MT RX/DU TX.</w:t>
            </w:r>
          </w:p>
        </w:tc>
      </w:tr>
    </w:tbl>
    <w:p w14:paraId="47B79555" w14:textId="77777777" w:rsidR="006C3751" w:rsidRDefault="006C3751" w:rsidP="006C3751">
      <w:pPr>
        <w:rPr>
          <w:b/>
          <w:color w:val="000000" w:themeColor="text1"/>
          <w:lang w:eastAsia="ko-KR"/>
        </w:rPr>
      </w:pPr>
    </w:p>
    <w:p w14:paraId="68E8BDC9" w14:textId="7F84FC67" w:rsidR="006C3751" w:rsidRPr="006C3751" w:rsidRDefault="006C3751" w:rsidP="006C3751">
      <w:r>
        <w:t>Furthermore, for s</w:t>
      </w:r>
      <w:r w:rsidRPr="006C3751">
        <w:t>imultaneous operation of IAB-node’s child and parent links by FDM</w:t>
      </w:r>
      <w:r w:rsidR="009549A7">
        <w:t xml:space="preserve"> we have below way forward.</w:t>
      </w:r>
    </w:p>
    <w:tbl>
      <w:tblPr>
        <w:tblStyle w:val="a6"/>
        <w:tblW w:w="0" w:type="auto"/>
        <w:tblLook w:val="04A0" w:firstRow="1" w:lastRow="0" w:firstColumn="1" w:lastColumn="0" w:noHBand="0" w:noVBand="1"/>
      </w:tblPr>
      <w:tblGrid>
        <w:gridCol w:w="10456"/>
      </w:tblGrid>
      <w:tr w:rsidR="006C3751" w14:paraId="4EF976CD" w14:textId="77777777" w:rsidTr="006A75F3">
        <w:tc>
          <w:tcPr>
            <w:tcW w:w="10456" w:type="dxa"/>
          </w:tcPr>
          <w:p w14:paraId="43C5B50A" w14:textId="77777777" w:rsidR="006C3751" w:rsidRPr="00BD5415" w:rsidRDefault="006C3751" w:rsidP="006A75F3">
            <w:pPr>
              <w:rPr>
                <w:rFonts w:ascii="Arial" w:hAnsi="Arial" w:cs="Arial"/>
                <w:sz w:val="16"/>
                <w:szCs w:val="16"/>
              </w:rPr>
            </w:pPr>
            <w:r w:rsidRPr="00BD5415">
              <w:rPr>
                <w:rFonts w:ascii="Arial" w:hAnsi="Arial" w:cs="Arial"/>
                <w:b/>
                <w:sz w:val="16"/>
                <w:szCs w:val="16"/>
              </w:rPr>
              <w:t>Way forward</w:t>
            </w:r>
            <w:r w:rsidRPr="00BD5415">
              <w:rPr>
                <w:rFonts w:ascii="Arial" w:hAnsi="Arial" w:cs="Arial"/>
                <w:sz w:val="16"/>
                <w:szCs w:val="16"/>
              </w:rPr>
              <w:t>:</w:t>
            </w:r>
          </w:p>
          <w:p w14:paraId="12BF257D" w14:textId="77777777" w:rsidR="006C3751" w:rsidRPr="00BD5415" w:rsidRDefault="006C3751" w:rsidP="006A75F3">
            <w:pPr>
              <w:spacing w:after="120"/>
              <w:rPr>
                <w:rFonts w:ascii="Arial" w:eastAsia="宋体" w:hAnsi="Arial" w:cs="Arial"/>
                <w:color w:val="000000" w:themeColor="text1"/>
                <w:sz w:val="16"/>
                <w:szCs w:val="16"/>
              </w:rPr>
            </w:pPr>
            <w:r w:rsidRPr="00BD5415">
              <w:rPr>
                <w:rFonts w:ascii="Arial" w:eastAsia="宋体" w:hAnsi="Arial" w:cs="Arial"/>
                <w:color w:val="000000" w:themeColor="text1"/>
                <w:sz w:val="16"/>
                <w:szCs w:val="16"/>
              </w:rPr>
              <w:t>Discuss further scenario of IAB-MT and IAB-DU share the same antenna array to support IAB simultaneous operation by FDM way includes but not limits to below aspects:</w:t>
            </w:r>
          </w:p>
          <w:p w14:paraId="4A0DF29E" w14:textId="77777777" w:rsidR="006C3751" w:rsidRPr="00BD5415" w:rsidRDefault="006C3751" w:rsidP="001E2FF0">
            <w:pPr>
              <w:pStyle w:val="a7"/>
              <w:numPr>
                <w:ilvl w:val="0"/>
                <w:numId w:val="2"/>
              </w:numPr>
              <w:spacing w:after="120"/>
              <w:ind w:firstLineChars="0" w:firstLine="480"/>
              <w:contextualSpacing/>
              <w:rPr>
                <w:rFonts w:ascii="Arial" w:hAnsi="Arial" w:cs="Arial"/>
                <w:color w:val="000000" w:themeColor="text1"/>
                <w:sz w:val="16"/>
                <w:szCs w:val="16"/>
              </w:rPr>
            </w:pPr>
            <w:r w:rsidRPr="00BD5415">
              <w:rPr>
                <w:rFonts w:ascii="Arial" w:hAnsi="Arial" w:cs="Arial"/>
                <w:color w:val="000000" w:themeColor="text1"/>
                <w:sz w:val="16"/>
                <w:szCs w:val="16"/>
              </w:rPr>
              <w:t>For case different beams applied for MT and DU FFS on feasible isolation between beams and associated RF impact.</w:t>
            </w:r>
          </w:p>
          <w:p w14:paraId="142178CF" w14:textId="77777777" w:rsidR="006C3751" w:rsidRPr="00BD5415" w:rsidRDefault="006C3751" w:rsidP="001E2FF0">
            <w:pPr>
              <w:pStyle w:val="a7"/>
              <w:numPr>
                <w:ilvl w:val="0"/>
                <w:numId w:val="2"/>
              </w:numPr>
              <w:spacing w:after="120"/>
              <w:ind w:firstLineChars="0" w:firstLine="480"/>
              <w:contextualSpacing/>
              <w:rPr>
                <w:rFonts w:ascii="Arial" w:hAnsi="Arial" w:cs="Arial"/>
                <w:color w:val="000000" w:themeColor="text1"/>
                <w:sz w:val="16"/>
                <w:szCs w:val="16"/>
              </w:rPr>
            </w:pPr>
            <w:r w:rsidRPr="00BD5415">
              <w:rPr>
                <w:rFonts w:ascii="Arial" w:hAnsi="Arial" w:cs="Arial"/>
                <w:color w:val="000000" w:themeColor="text1"/>
                <w:sz w:val="16"/>
                <w:szCs w:val="16"/>
              </w:rPr>
              <w:t>For case one beam shared between MT and DU FFS on</w:t>
            </w:r>
          </w:p>
          <w:p w14:paraId="632455C5" w14:textId="77777777" w:rsidR="006C3751" w:rsidRPr="00BD5415" w:rsidRDefault="006C3751" w:rsidP="001E2FF0">
            <w:pPr>
              <w:pStyle w:val="a7"/>
              <w:numPr>
                <w:ilvl w:val="1"/>
                <w:numId w:val="2"/>
              </w:numPr>
              <w:spacing w:after="120"/>
              <w:ind w:firstLineChars="0" w:firstLine="480"/>
              <w:contextualSpacing/>
              <w:rPr>
                <w:rFonts w:ascii="Arial" w:hAnsi="Arial" w:cs="Arial"/>
                <w:color w:val="000000" w:themeColor="text1"/>
                <w:sz w:val="16"/>
                <w:szCs w:val="16"/>
              </w:rPr>
            </w:pPr>
            <w:r w:rsidRPr="00BD5415">
              <w:rPr>
                <w:rFonts w:ascii="Arial" w:hAnsi="Arial" w:cs="Arial"/>
                <w:color w:val="000000" w:themeColor="text1"/>
                <w:sz w:val="16"/>
                <w:szCs w:val="16"/>
              </w:rPr>
              <w:t>Tx power imbalance between MT and DU for simultaneous MT TX and DU TX</w:t>
            </w:r>
          </w:p>
          <w:p w14:paraId="03FB45BB" w14:textId="77777777" w:rsidR="006C3751" w:rsidRPr="00BD5415" w:rsidRDefault="006C3751" w:rsidP="001E2FF0">
            <w:pPr>
              <w:pStyle w:val="a7"/>
              <w:numPr>
                <w:ilvl w:val="1"/>
                <w:numId w:val="2"/>
              </w:numPr>
              <w:spacing w:after="120"/>
              <w:ind w:firstLineChars="0" w:firstLine="480"/>
              <w:contextualSpacing/>
              <w:rPr>
                <w:rFonts w:ascii="Arial" w:hAnsi="Arial" w:cs="Arial"/>
                <w:color w:val="000000" w:themeColor="text1"/>
                <w:sz w:val="16"/>
                <w:szCs w:val="16"/>
              </w:rPr>
            </w:pPr>
            <w:r w:rsidRPr="00BD5415">
              <w:rPr>
                <w:rFonts w:ascii="Arial" w:hAnsi="Arial" w:cs="Arial"/>
                <w:color w:val="000000" w:themeColor="text1"/>
                <w:sz w:val="16"/>
                <w:szCs w:val="16"/>
              </w:rPr>
              <w:t>RX power imbalance between MT and DU for simultaneous MT RX and DU RX</w:t>
            </w:r>
          </w:p>
          <w:p w14:paraId="59AEBE45" w14:textId="77777777" w:rsidR="006C3751" w:rsidRPr="00BD5415" w:rsidRDefault="006C3751" w:rsidP="001E2FF0">
            <w:pPr>
              <w:pStyle w:val="a7"/>
              <w:numPr>
                <w:ilvl w:val="1"/>
                <w:numId w:val="2"/>
              </w:numPr>
              <w:spacing w:after="120"/>
              <w:ind w:firstLineChars="0" w:firstLine="480"/>
              <w:contextualSpacing/>
              <w:rPr>
                <w:rFonts w:ascii="Arial" w:hAnsi="Arial" w:cs="Arial"/>
                <w:color w:val="000000" w:themeColor="text1"/>
                <w:sz w:val="16"/>
                <w:szCs w:val="16"/>
              </w:rPr>
            </w:pPr>
            <w:r w:rsidRPr="00BD5415">
              <w:rPr>
                <w:rFonts w:ascii="Arial" w:hAnsi="Arial" w:cs="Arial"/>
                <w:color w:val="000000" w:themeColor="text1"/>
                <w:sz w:val="16"/>
                <w:szCs w:val="16"/>
              </w:rPr>
              <w:t>Timing difference due to IAB-MT TA if any impact</w:t>
            </w:r>
          </w:p>
          <w:p w14:paraId="1FC644C5" w14:textId="77777777" w:rsidR="006C3751" w:rsidRPr="00BD5415" w:rsidRDefault="006C3751" w:rsidP="001E2FF0">
            <w:pPr>
              <w:pStyle w:val="a7"/>
              <w:numPr>
                <w:ilvl w:val="1"/>
                <w:numId w:val="2"/>
              </w:numPr>
              <w:spacing w:after="120"/>
              <w:ind w:firstLineChars="0" w:firstLine="480"/>
              <w:contextualSpacing/>
              <w:rPr>
                <w:rFonts w:ascii="Arial" w:hAnsi="Arial" w:cs="Arial"/>
                <w:color w:val="000000" w:themeColor="text1"/>
                <w:sz w:val="16"/>
                <w:szCs w:val="16"/>
              </w:rPr>
            </w:pPr>
            <w:r w:rsidRPr="00BD5415">
              <w:rPr>
                <w:rFonts w:ascii="Arial" w:hAnsi="Arial" w:cs="Arial"/>
                <w:color w:val="000000" w:themeColor="text1"/>
                <w:sz w:val="16"/>
                <w:szCs w:val="16"/>
              </w:rPr>
              <w:t>Whether simultaneous MT TX/DU RX and/or MT RX/DU TX can be removed for this scenario</w:t>
            </w:r>
          </w:p>
          <w:p w14:paraId="1448FC08" w14:textId="77777777" w:rsidR="006C3751" w:rsidRPr="00BD5415" w:rsidRDefault="006C3751" w:rsidP="001E2FF0">
            <w:pPr>
              <w:pStyle w:val="a7"/>
              <w:numPr>
                <w:ilvl w:val="0"/>
                <w:numId w:val="2"/>
              </w:numPr>
              <w:spacing w:after="120"/>
              <w:ind w:firstLineChars="0" w:firstLine="480"/>
              <w:contextualSpacing/>
              <w:rPr>
                <w:rFonts w:ascii="Arial" w:hAnsi="Arial" w:cs="Arial"/>
                <w:color w:val="000000" w:themeColor="text1"/>
              </w:rPr>
            </w:pPr>
            <w:r w:rsidRPr="00BD5415">
              <w:rPr>
                <w:rFonts w:ascii="Arial" w:hAnsi="Arial" w:cs="Arial"/>
                <w:color w:val="000000" w:themeColor="text1"/>
                <w:sz w:val="16"/>
                <w:szCs w:val="16"/>
              </w:rPr>
              <w:t>Others</w:t>
            </w:r>
          </w:p>
        </w:tc>
      </w:tr>
    </w:tbl>
    <w:p w14:paraId="2D8F3B05" w14:textId="2597E1E2" w:rsidR="004E338D" w:rsidRPr="00E13B5F" w:rsidRDefault="009549A7" w:rsidP="004E338D">
      <w:r>
        <w:t xml:space="preserve">This contribution discusses further on the simultaneous operation of IAB-node’s child and parent link based on above agreement and </w:t>
      </w:r>
      <w:r w:rsidR="005A7DC5">
        <w:t xml:space="preserve">condition on shared antenna array by FDM multiplexing mode in general </w:t>
      </w:r>
      <w:r w:rsidR="00956879">
        <w:t xml:space="preserve">together with corresponding RAN1 </w:t>
      </w:r>
      <w:r>
        <w:t xml:space="preserve">progress. </w:t>
      </w:r>
    </w:p>
    <w:p w14:paraId="41220C08" w14:textId="4940AFA6" w:rsidR="005A7DC5" w:rsidRDefault="006C3751" w:rsidP="005A7DC5">
      <w:pPr>
        <w:pStyle w:val="1"/>
        <w:rPr>
          <w:rFonts w:cs="Arial"/>
          <w:lang w:eastAsia="zh-CN"/>
        </w:rPr>
      </w:pPr>
      <w:r>
        <w:rPr>
          <w:rFonts w:cs="Arial"/>
          <w:lang w:eastAsia="zh-CN"/>
        </w:rPr>
        <w:t>Discussion</w:t>
      </w:r>
      <w:r w:rsidR="00276C66">
        <w:rPr>
          <w:rFonts w:cs="Arial"/>
          <w:lang w:eastAsia="zh-CN"/>
        </w:rPr>
        <w:t xml:space="preserve">   </w:t>
      </w:r>
    </w:p>
    <w:p w14:paraId="1B0462F5" w14:textId="2FFB91A9" w:rsidR="003E6FA5" w:rsidRDefault="00380AD4" w:rsidP="005A7DC5">
      <w:pPr>
        <w:rPr>
          <w:sz w:val="20"/>
          <w:szCs w:val="20"/>
          <w:lang w:val="en-GB"/>
        </w:rPr>
      </w:pPr>
      <w:r>
        <w:rPr>
          <w:sz w:val="20"/>
          <w:szCs w:val="20"/>
        </w:rPr>
        <w:t>C</w:t>
      </w:r>
      <w:r w:rsidR="00B12B9A" w:rsidRPr="00B12B9A">
        <w:rPr>
          <w:sz w:val="20"/>
          <w:szCs w:val="20"/>
        </w:rPr>
        <w:t xml:space="preserve">onsidering the </w:t>
      </w:r>
      <w:r w:rsidR="00B12B9A">
        <w:rPr>
          <w:sz w:val="20"/>
          <w:szCs w:val="20"/>
        </w:rPr>
        <w:t xml:space="preserve">challenging </w:t>
      </w:r>
      <w:r w:rsidR="00B12B9A" w:rsidRPr="00B12B9A">
        <w:rPr>
          <w:sz w:val="20"/>
          <w:szCs w:val="20"/>
          <w:lang w:val="en-GB"/>
        </w:rPr>
        <w:t>in hardware implementation</w:t>
      </w:r>
      <w:r w:rsidR="00B12B9A">
        <w:rPr>
          <w:sz w:val="20"/>
          <w:szCs w:val="20"/>
        </w:rPr>
        <w:t xml:space="preserve"> and </w:t>
      </w:r>
      <w:r w:rsidR="003E6FA5">
        <w:rPr>
          <w:sz w:val="20"/>
          <w:szCs w:val="20"/>
        </w:rPr>
        <w:t xml:space="preserve">lack of legacy study as reference it’s suggested to </w:t>
      </w:r>
      <w:r w:rsidR="00175ABF" w:rsidRPr="00B12B9A">
        <w:rPr>
          <w:sz w:val="20"/>
          <w:szCs w:val="20"/>
          <w:lang w:val="en-GB"/>
        </w:rPr>
        <w:t>exclude</w:t>
      </w:r>
      <w:r w:rsidR="005A7DC5" w:rsidRPr="00B12B9A">
        <w:rPr>
          <w:sz w:val="20"/>
          <w:szCs w:val="20"/>
          <w:lang w:val="en-GB"/>
        </w:rPr>
        <w:t xml:space="preserve"> the multiplexing scenario of simultaneous MT TX/DU RX and simultaneous MT </w:t>
      </w:r>
      <w:r w:rsidR="00175ABF" w:rsidRPr="00B12B9A">
        <w:rPr>
          <w:sz w:val="20"/>
          <w:szCs w:val="20"/>
          <w:lang w:val="en-GB"/>
        </w:rPr>
        <w:t xml:space="preserve">RX/DU TX by shared antenna array solution </w:t>
      </w:r>
      <w:r w:rsidR="003E6FA5">
        <w:rPr>
          <w:sz w:val="20"/>
          <w:szCs w:val="20"/>
          <w:lang w:val="en-GB"/>
        </w:rPr>
        <w:t xml:space="preserve">at least within this release. </w:t>
      </w:r>
    </w:p>
    <w:p w14:paraId="5CB52C2A" w14:textId="77777777" w:rsidR="005A04DA" w:rsidRDefault="003E6FA5" w:rsidP="005A7DC5">
      <w:pPr>
        <w:rPr>
          <w:sz w:val="20"/>
          <w:szCs w:val="20"/>
          <w:lang w:val="en-GB"/>
        </w:rPr>
      </w:pPr>
      <w:r w:rsidRPr="003E6FA5">
        <w:rPr>
          <w:b/>
          <w:sz w:val="20"/>
          <w:szCs w:val="20"/>
          <w:lang w:val="en-GB"/>
        </w:rPr>
        <w:t>Proposal 1</w:t>
      </w:r>
      <w:r>
        <w:rPr>
          <w:sz w:val="20"/>
          <w:szCs w:val="20"/>
          <w:lang w:val="en-GB"/>
        </w:rPr>
        <w:t>: it is suggested to exclude the</w:t>
      </w:r>
      <w:r w:rsidR="00B12B9A" w:rsidRPr="00B12B9A">
        <w:rPr>
          <w:sz w:val="20"/>
          <w:szCs w:val="20"/>
          <w:lang w:val="en-GB"/>
        </w:rPr>
        <w:t xml:space="preserve"> </w:t>
      </w:r>
      <w:r w:rsidRPr="00B12B9A">
        <w:rPr>
          <w:sz w:val="20"/>
          <w:szCs w:val="20"/>
          <w:lang w:val="en-GB"/>
        </w:rPr>
        <w:t>multiplexing scenario of simultaneous MT TX/DU RX and simultaneous MT RX/DU TX by shared antenna array solution</w:t>
      </w:r>
      <w:r>
        <w:rPr>
          <w:sz w:val="20"/>
          <w:szCs w:val="20"/>
          <w:lang w:val="en-GB"/>
        </w:rPr>
        <w:t xml:space="preserve"> under FDM mode. </w:t>
      </w:r>
    </w:p>
    <w:p w14:paraId="519F5A68" w14:textId="2D6C35A1" w:rsidR="005A7DC5" w:rsidRDefault="00B12B9A" w:rsidP="005A7DC5">
      <w:pPr>
        <w:rPr>
          <w:sz w:val="20"/>
          <w:szCs w:val="20"/>
          <w:lang w:val="en-GB"/>
        </w:rPr>
      </w:pPr>
      <w:r w:rsidRPr="00B12B9A">
        <w:rPr>
          <w:sz w:val="20"/>
          <w:szCs w:val="20"/>
          <w:lang w:val="en-GB"/>
        </w:rPr>
        <w:t xml:space="preserve"> </w:t>
      </w:r>
      <w:r w:rsidR="00175ABF" w:rsidRPr="00B12B9A">
        <w:rPr>
          <w:sz w:val="20"/>
          <w:szCs w:val="20"/>
          <w:lang w:val="en-GB"/>
        </w:rPr>
        <w:t xml:space="preserve"> </w:t>
      </w:r>
    </w:p>
    <w:p w14:paraId="019A9719" w14:textId="74157629" w:rsidR="00380AD4" w:rsidRPr="00B12B9A" w:rsidRDefault="00380AD4" w:rsidP="00380AD4">
      <w:pPr>
        <w:rPr>
          <w:sz w:val="20"/>
          <w:szCs w:val="20"/>
          <w:lang w:val="en-GB"/>
        </w:rPr>
      </w:pPr>
      <w:r>
        <w:rPr>
          <w:sz w:val="20"/>
          <w:szCs w:val="20"/>
          <w:lang w:val="en-GB"/>
        </w:rPr>
        <w:t>Consequently, i</w:t>
      </w:r>
      <w:r w:rsidRPr="00B12B9A">
        <w:rPr>
          <w:sz w:val="20"/>
          <w:szCs w:val="20"/>
          <w:lang w:val="en-GB"/>
        </w:rPr>
        <w:t xml:space="preserve">n the context of simultaneous operation for IAB under FDM mode </w:t>
      </w:r>
      <w:r>
        <w:rPr>
          <w:sz w:val="20"/>
          <w:szCs w:val="20"/>
          <w:lang w:val="en-GB"/>
        </w:rPr>
        <w:t>we will</w:t>
      </w:r>
      <w:r w:rsidRPr="00B12B9A">
        <w:rPr>
          <w:sz w:val="20"/>
          <w:szCs w:val="20"/>
          <w:lang w:val="en-GB"/>
        </w:rPr>
        <w:t xml:space="preserve"> focus on the discussion for below scenarios:</w:t>
      </w:r>
    </w:p>
    <w:p w14:paraId="22A34F35" w14:textId="77777777" w:rsidR="00380AD4" w:rsidRPr="00B12B9A" w:rsidRDefault="00380AD4" w:rsidP="00380AD4">
      <w:pPr>
        <w:pStyle w:val="a7"/>
        <w:numPr>
          <w:ilvl w:val="1"/>
          <w:numId w:val="2"/>
        </w:numPr>
        <w:spacing w:after="120"/>
        <w:ind w:firstLineChars="0" w:firstLine="480"/>
        <w:contextualSpacing/>
        <w:rPr>
          <w:rFonts w:asciiTheme="minorHAnsi" w:hAnsiTheme="minorHAnsi" w:cstheme="minorHAnsi"/>
          <w:color w:val="000000" w:themeColor="text1"/>
          <w:sz w:val="20"/>
          <w:szCs w:val="20"/>
        </w:rPr>
      </w:pPr>
      <w:r w:rsidRPr="00B12B9A">
        <w:rPr>
          <w:rFonts w:asciiTheme="minorHAnsi" w:hAnsiTheme="minorHAnsi" w:cstheme="minorHAnsi"/>
          <w:color w:val="000000" w:themeColor="text1"/>
          <w:sz w:val="20"/>
          <w:szCs w:val="20"/>
        </w:rPr>
        <w:t>Simultaneous transmission of IAB-MT and IAB-DU</w:t>
      </w:r>
    </w:p>
    <w:p w14:paraId="6E2275C6" w14:textId="77777777" w:rsidR="00380AD4" w:rsidRPr="00B12B9A" w:rsidRDefault="00380AD4" w:rsidP="00380AD4">
      <w:pPr>
        <w:pStyle w:val="a7"/>
        <w:numPr>
          <w:ilvl w:val="1"/>
          <w:numId w:val="2"/>
        </w:numPr>
        <w:spacing w:after="120"/>
        <w:ind w:firstLineChars="0" w:firstLine="480"/>
        <w:contextualSpacing/>
        <w:rPr>
          <w:rFonts w:asciiTheme="minorHAnsi" w:hAnsiTheme="minorHAnsi" w:cstheme="minorHAnsi"/>
          <w:color w:val="000000" w:themeColor="text1"/>
          <w:sz w:val="20"/>
          <w:szCs w:val="20"/>
        </w:rPr>
      </w:pPr>
      <w:r w:rsidRPr="00B12B9A">
        <w:rPr>
          <w:rFonts w:asciiTheme="minorHAnsi" w:hAnsiTheme="minorHAnsi" w:cstheme="minorHAnsi"/>
          <w:color w:val="000000" w:themeColor="text1"/>
          <w:sz w:val="20"/>
          <w:szCs w:val="20"/>
        </w:rPr>
        <w:t>Simultaneous reception of IAB-MT and IAB-DU</w:t>
      </w:r>
    </w:p>
    <w:p w14:paraId="2288E09F" w14:textId="793A197B" w:rsidR="0035218B" w:rsidRDefault="00380AD4" w:rsidP="005A7DC5">
      <w:pPr>
        <w:rPr>
          <w:sz w:val="20"/>
          <w:szCs w:val="20"/>
        </w:rPr>
      </w:pPr>
      <w:r>
        <w:rPr>
          <w:rFonts w:hint="eastAsia"/>
          <w:sz w:val="20"/>
          <w:szCs w:val="20"/>
        </w:rPr>
        <w:t>M</w:t>
      </w:r>
      <w:r>
        <w:rPr>
          <w:sz w:val="20"/>
          <w:szCs w:val="20"/>
        </w:rPr>
        <w:t xml:space="preserve">ain issues identified for these scenarios, which may have impact on RF requirement, would be timing </w:t>
      </w:r>
      <w:r w:rsidR="0035218B">
        <w:rPr>
          <w:sz w:val="20"/>
          <w:szCs w:val="20"/>
        </w:rPr>
        <w:t>difference due to TA</w:t>
      </w:r>
      <w:r w:rsidR="0035218B" w:rsidRPr="0035218B">
        <w:rPr>
          <w:sz w:val="20"/>
          <w:szCs w:val="20"/>
        </w:rPr>
        <w:t xml:space="preserve"> </w:t>
      </w:r>
      <w:r w:rsidR="0035218B">
        <w:rPr>
          <w:sz w:val="20"/>
          <w:szCs w:val="20"/>
        </w:rPr>
        <w:t>and power imbalance</w:t>
      </w:r>
      <w:r>
        <w:rPr>
          <w:sz w:val="20"/>
          <w:szCs w:val="20"/>
        </w:rPr>
        <w:t>.</w:t>
      </w:r>
      <w:r w:rsidR="0035218B">
        <w:rPr>
          <w:sz w:val="20"/>
          <w:szCs w:val="20"/>
        </w:rPr>
        <w:t xml:space="preserve"> Before digging into analysis within RAN4, it would be beneficial to take a look at what’s going on in related RAN1 discussion. </w:t>
      </w:r>
      <w:r w:rsidR="0035218B">
        <w:rPr>
          <w:rFonts w:hint="eastAsia"/>
          <w:sz w:val="20"/>
          <w:szCs w:val="20"/>
        </w:rPr>
        <w:t>T</w:t>
      </w:r>
      <w:r w:rsidR="0035218B">
        <w:rPr>
          <w:sz w:val="20"/>
          <w:szCs w:val="20"/>
        </w:rPr>
        <w:t>here is one agr</w:t>
      </w:r>
      <w:r w:rsidR="00EB123A">
        <w:rPr>
          <w:sz w:val="20"/>
          <w:szCs w:val="20"/>
        </w:rPr>
        <w:t xml:space="preserve">eement as below to resolve problem found in discussion on simultaneous operation. </w:t>
      </w:r>
    </w:p>
    <w:tbl>
      <w:tblPr>
        <w:tblStyle w:val="a6"/>
        <w:tblW w:w="0" w:type="auto"/>
        <w:tblLook w:val="04A0" w:firstRow="1" w:lastRow="0" w:firstColumn="1" w:lastColumn="0" w:noHBand="0" w:noVBand="1"/>
      </w:tblPr>
      <w:tblGrid>
        <w:gridCol w:w="10456"/>
      </w:tblGrid>
      <w:tr w:rsidR="0035218B" w14:paraId="0433B0BC" w14:textId="77777777" w:rsidTr="0035218B">
        <w:tc>
          <w:tcPr>
            <w:tcW w:w="10456" w:type="dxa"/>
          </w:tcPr>
          <w:p w14:paraId="1C88C1A5" w14:textId="77777777" w:rsidR="0035218B" w:rsidRPr="0035218B" w:rsidRDefault="0035218B" w:rsidP="0035218B">
            <w:pPr>
              <w:rPr>
                <w:rFonts w:ascii="Arial" w:eastAsia="宋体" w:hAnsi="Arial" w:cs="Arial"/>
                <w:sz w:val="16"/>
                <w:szCs w:val="16"/>
              </w:rPr>
            </w:pPr>
            <w:r w:rsidRPr="0035218B">
              <w:rPr>
                <w:rFonts w:ascii="Arial" w:hAnsi="Arial" w:cs="Arial"/>
                <w:b/>
                <w:bCs/>
                <w:color w:val="000000"/>
                <w:sz w:val="16"/>
                <w:szCs w:val="16"/>
                <w:highlight w:val="green"/>
                <w:shd w:val="clear" w:color="auto" w:fill="FFFF00"/>
              </w:rPr>
              <w:lastRenderedPageBreak/>
              <w:t>Agreement</w:t>
            </w:r>
          </w:p>
          <w:p w14:paraId="4579A0D2" w14:textId="77777777" w:rsidR="0035218B" w:rsidRPr="0035218B" w:rsidRDefault="0035218B" w:rsidP="0035218B">
            <w:pPr>
              <w:rPr>
                <w:rFonts w:ascii="Arial" w:hAnsi="Arial" w:cs="Arial"/>
                <w:sz w:val="16"/>
                <w:szCs w:val="16"/>
              </w:rPr>
            </w:pPr>
            <w:r w:rsidRPr="0035218B">
              <w:rPr>
                <w:rFonts w:ascii="Arial" w:hAnsi="Arial" w:cs="Arial"/>
                <w:sz w:val="16"/>
                <w:szCs w:val="16"/>
              </w:rPr>
              <w:t>The parent IAB-node is dynamically provided with conditions/parameters to facilitate adaptation between multiplexing operation modes:</w:t>
            </w:r>
          </w:p>
          <w:p w14:paraId="661B75DF" w14:textId="77777777" w:rsidR="0035218B" w:rsidRPr="0035218B" w:rsidRDefault="0035218B" w:rsidP="0035218B">
            <w:pPr>
              <w:pStyle w:val="a7"/>
              <w:numPr>
                <w:ilvl w:val="0"/>
                <w:numId w:val="9"/>
              </w:numPr>
              <w:overflowPunct w:val="0"/>
              <w:autoSpaceDE w:val="0"/>
              <w:autoSpaceDN w:val="0"/>
              <w:adjustRightInd w:val="0"/>
              <w:ind w:firstLineChars="0"/>
              <w:contextualSpacing/>
              <w:jc w:val="both"/>
              <w:textAlignment w:val="baseline"/>
              <w:rPr>
                <w:rFonts w:ascii="Arial" w:hAnsi="Arial" w:cs="Arial"/>
                <w:sz w:val="16"/>
                <w:szCs w:val="16"/>
              </w:rPr>
            </w:pPr>
            <w:r w:rsidRPr="0035218B">
              <w:rPr>
                <w:rFonts w:ascii="Arial" w:hAnsi="Arial" w:cs="Arial"/>
                <w:sz w:val="16"/>
                <w:szCs w:val="16"/>
              </w:rPr>
              <w:t>FFS: Required number of guard symbols for switching of multiplexing mode (FFS: per timing mode or per multiplexing mode) for IAB-DU</w:t>
            </w:r>
          </w:p>
          <w:p w14:paraId="4685E732" w14:textId="77777777" w:rsidR="0035218B" w:rsidRPr="0035218B" w:rsidRDefault="0035218B" w:rsidP="0035218B">
            <w:pPr>
              <w:pStyle w:val="a7"/>
              <w:numPr>
                <w:ilvl w:val="0"/>
                <w:numId w:val="9"/>
              </w:numPr>
              <w:overflowPunct w:val="0"/>
              <w:autoSpaceDE w:val="0"/>
              <w:autoSpaceDN w:val="0"/>
              <w:adjustRightInd w:val="0"/>
              <w:ind w:firstLineChars="0"/>
              <w:contextualSpacing/>
              <w:jc w:val="both"/>
              <w:textAlignment w:val="baseline"/>
              <w:rPr>
                <w:rFonts w:ascii="Arial" w:hAnsi="Arial" w:cs="Arial"/>
                <w:sz w:val="16"/>
                <w:szCs w:val="16"/>
              </w:rPr>
            </w:pPr>
            <w:r w:rsidRPr="0035218B">
              <w:rPr>
                <w:rFonts w:ascii="Arial" w:hAnsi="Arial" w:cs="Arial"/>
                <w:sz w:val="16"/>
                <w:szCs w:val="16"/>
              </w:rPr>
              <w:t>FFS: Signalling procedure</w:t>
            </w:r>
          </w:p>
          <w:p w14:paraId="1A033452" w14:textId="77777777" w:rsidR="0035218B" w:rsidRPr="0035218B" w:rsidRDefault="0035218B" w:rsidP="0035218B">
            <w:pPr>
              <w:pStyle w:val="a7"/>
              <w:numPr>
                <w:ilvl w:val="0"/>
                <w:numId w:val="9"/>
              </w:numPr>
              <w:ind w:firstLineChars="0"/>
              <w:contextualSpacing/>
              <w:jc w:val="both"/>
              <w:rPr>
                <w:rFonts w:ascii="Arial" w:hAnsi="Arial" w:cs="Arial"/>
                <w:sz w:val="16"/>
                <w:szCs w:val="16"/>
              </w:rPr>
            </w:pPr>
            <w:r w:rsidRPr="0035218B">
              <w:rPr>
                <w:rFonts w:ascii="Arial" w:hAnsi="Arial" w:cs="Arial"/>
                <w:sz w:val="16"/>
                <w:szCs w:val="16"/>
              </w:rPr>
              <w:t>FFS: Required guard band for FDM</w:t>
            </w:r>
          </w:p>
          <w:p w14:paraId="72A0218A" w14:textId="2F619690" w:rsidR="0035218B" w:rsidRPr="0035218B" w:rsidRDefault="0035218B" w:rsidP="005A7DC5">
            <w:pPr>
              <w:pStyle w:val="a7"/>
              <w:numPr>
                <w:ilvl w:val="0"/>
                <w:numId w:val="9"/>
              </w:numPr>
              <w:ind w:firstLineChars="0"/>
              <w:contextualSpacing/>
              <w:jc w:val="both"/>
              <w:rPr>
                <w:rFonts w:ascii="Arial" w:hAnsi="Arial" w:cs="Arial"/>
                <w:sz w:val="16"/>
                <w:szCs w:val="16"/>
              </w:rPr>
            </w:pPr>
            <w:r w:rsidRPr="0035218B">
              <w:rPr>
                <w:rFonts w:ascii="Arial" w:hAnsi="Arial" w:cs="Arial"/>
                <w:sz w:val="16"/>
                <w:szCs w:val="16"/>
              </w:rPr>
              <w:t>FFS: other conditions, e.g. required timing mode, required power control parameters, and preferred TCI.</w:t>
            </w:r>
          </w:p>
        </w:tc>
      </w:tr>
    </w:tbl>
    <w:p w14:paraId="42D0034B" w14:textId="282AF75D" w:rsidR="000D5600" w:rsidRDefault="00CA028A" w:rsidP="005A7DC5">
      <w:pPr>
        <w:rPr>
          <w:sz w:val="20"/>
          <w:szCs w:val="20"/>
        </w:rPr>
      </w:pPr>
      <w:r>
        <w:rPr>
          <w:sz w:val="20"/>
          <w:szCs w:val="20"/>
        </w:rPr>
        <w:t>The 1</w:t>
      </w:r>
      <w:r w:rsidRPr="00CA028A">
        <w:rPr>
          <w:sz w:val="20"/>
          <w:szCs w:val="20"/>
          <w:vertAlign w:val="superscript"/>
        </w:rPr>
        <w:t>st</w:t>
      </w:r>
      <w:r>
        <w:rPr>
          <w:sz w:val="20"/>
          <w:szCs w:val="20"/>
        </w:rPr>
        <w:t xml:space="preserve"> bullet on FFS is for the guard symbols# </w:t>
      </w:r>
      <w:r w:rsidR="000D5600">
        <w:rPr>
          <w:sz w:val="20"/>
          <w:szCs w:val="20"/>
        </w:rPr>
        <w:t>should be applicable to</w:t>
      </w:r>
      <w:r>
        <w:rPr>
          <w:sz w:val="20"/>
          <w:szCs w:val="20"/>
        </w:rPr>
        <w:t xml:space="preserve"> resolve the potential </w:t>
      </w:r>
      <w:r w:rsidR="000D5600">
        <w:rPr>
          <w:sz w:val="20"/>
          <w:szCs w:val="20"/>
        </w:rPr>
        <w:t xml:space="preserve">collision issues due to adjustment on TA during timing mode switching. However, it seems RAN1 still needs more time to conclude on further details. </w:t>
      </w:r>
      <w:r w:rsidR="003D38C1">
        <w:rPr>
          <w:sz w:val="20"/>
          <w:szCs w:val="20"/>
        </w:rPr>
        <w:t>Hence it’s supposed that the RAN4 discussion</w:t>
      </w:r>
      <w:r w:rsidR="00956879">
        <w:rPr>
          <w:sz w:val="20"/>
          <w:szCs w:val="20"/>
        </w:rPr>
        <w:t xml:space="preserve"> can be postponed since it</w:t>
      </w:r>
      <w:r w:rsidR="003D38C1">
        <w:rPr>
          <w:sz w:val="20"/>
          <w:szCs w:val="20"/>
        </w:rPr>
        <w:t xml:space="preserve"> should be relied on RAN1 further conclusion.</w:t>
      </w:r>
    </w:p>
    <w:p w14:paraId="03A36A0A" w14:textId="77777777" w:rsidR="00B92F2E" w:rsidRDefault="003D38C1" w:rsidP="005A7DC5">
      <w:pPr>
        <w:rPr>
          <w:sz w:val="20"/>
          <w:szCs w:val="20"/>
        </w:rPr>
      </w:pPr>
      <w:r w:rsidRPr="003D38C1">
        <w:rPr>
          <w:b/>
          <w:sz w:val="20"/>
          <w:szCs w:val="20"/>
        </w:rPr>
        <w:t>Observation 1</w:t>
      </w:r>
      <w:r>
        <w:rPr>
          <w:sz w:val="20"/>
          <w:szCs w:val="20"/>
        </w:rPr>
        <w:t xml:space="preserve">: </w:t>
      </w:r>
      <w:r w:rsidR="005537ED">
        <w:rPr>
          <w:sz w:val="20"/>
          <w:szCs w:val="20"/>
        </w:rPr>
        <w:t xml:space="preserve">RAN1 discussion on guard symbols, which </w:t>
      </w:r>
      <w:r w:rsidR="00B92F2E">
        <w:rPr>
          <w:sz w:val="20"/>
          <w:szCs w:val="20"/>
        </w:rPr>
        <w:t>can be applied to resolve IAB-MT TA collision, is still open.</w:t>
      </w:r>
    </w:p>
    <w:p w14:paraId="781FEB67" w14:textId="2F27A4C7" w:rsidR="003D38C1" w:rsidRDefault="00B92F2E" w:rsidP="005A7DC5">
      <w:pPr>
        <w:rPr>
          <w:sz w:val="20"/>
          <w:szCs w:val="20"/>
        </w:rPr>
      </w:pPr>
      <w:r>
        <w:rPr>
          <w:sz w:val="20"/>
          <w:szCs w:val="20"/>
        </w:rPr>
        <w:t xml:space="preserve"> </w:t>
      </w:r>
    </w:p>
    <w:p w14:paraId="434E270C" w14:textId="4571521E" w:rsidR="0035218B" w:rsidRDefault="000D5600" w:rsidP="005A7DC5">
      <w:pPr>
        <w:rPr>
          <w:sz w:val="20"/>
          <w:szCs w:val="20"/>
        </w:rPr>
      </w:pPr>
      <w:r>
        <w:rPr>
          <w:sz w:val="20"/>
          <w:szCs w:val="20"/>
        </w:rPr>
        <w:t>In additional, the 3</w:t>
      </w:r>
      <w:r w:rsidRPr="000D5600">
        <w:rPr>
          <w:sz w:val="20"/>
          <w:szCs w:val="20"/>
          <w:vertAlign w:val="superscript"/>
        </w:rPr>
        <w:t>rd</w:t>
      </w:r>
      <w:r>
        <w:rPr>
          <w:sz w:val="20"/>
          <w:szCs w:val="20"/>
        </w:rPr>
        <w:t xml:space="preserve"> bullet on FFS is for required guard band for FDM</w:t>
      </w:r>
      <w:r w:rsidRPr="00B92F2E">
        <w:rPr>
          <w:sz w:val="20"/>
          <w:szCs w:val="20"/>
        </w:rPr>
        <w:t>.</w:t>
      </w:r>
      <w:r w:rsidR="00B92F2E" w:rsidRPr="00B92F2E">
        <w:rPr>
          <w:sz w:val="20"/>
          <w:szCs w:val="20"/>
        </w:rPr>
        <w:t xml:space="preserve"> </w:t>
      </w:r>
      <w:r w:rsidR="001E6AC5">
        <w:rPr>
          <w:sz w:val="20"/>
          <w:szCs w:val="20"/>
        </w:rPr>
        <w:t xml:space="preserve">To our understanding, in </w:t>
      </w:r>
      <w:r w:rsidR="00473B89">
        <w:rPr>
          <w:sz w:val="20"/>
          <w:szCs w:val="20"/>
        </w:rPr>
        <w:t xml:space="preserve">legacy </w:t>
      </w:r>
      <w:r w:rsidR="001E6AC5">
        <w:rPr>
          <w:sz w:val="20"/>
          <w:szCs w:val="20"/>
        </w:rPr>
        <w:t xml:space="preserve">RAN4 discussion the guard band </w:t>
      </w:r>
      <w:r w:rsidR="00473B89">
        <w:rPr>
          <w:sz w:val="20"/>
          <w:szCs w:val="20"/>
        </w:rPr>
        <w:t>for two sub-block within channel</w:t>
      </w:r>
      <w:r w:rsidR="00956879">
        <w:rPr>
          <w:sz w:val="20"/>
          <w:szCs w:val="20"/>
        </w:rPr>
        <w:t xml:space="preserve"> which can be configured would</w:t>
      </w:r>
      <w:r w:rsidR="00473B89">
        <w:rPr>
          <w:sz w:val="20"/>
          <w:szCs w:val="20"/>
        </w:rPr>
        <w:t xml:space="preserve"> be transparent in specification. What has been defined is the channel edge guard band in general. Hence</w:t>
      </w:r>
      <w:r w:rsidR="00F06574">
        <w:rPr>
          <w:sz w:val="20"/>
          <w:szCs w:val="20"/>
        </w:rPr>
        <w:t xml:space="preserve"> in following </w:t>
      </w:r>
      <w:r w:rsidR="00473B89">
        <w:rPr>
          <w:sz w:val="20"/>
          <w:szCs w:val="20"/>
        </w:rPr>
        <w:t>discussion on IAB</w:t>
      </w:r>
      <w:r w:rsidR="00F06574">
        <w:rPr>
          <w:sz w:val="20"/>
          <w:szCs w:val="20"/>
        </w:rPr>
        <w:t xml:space="preserve"> we take the same basis as legacy RAN4 approach.</w:t>
      </w:r>
      <w:r w:rsidR="00657138">
        <w:rPr>
          <w:sz w:val="20"/>
          <w:szCs w:val="20"/>
        </w:rPr>
        <w:t xml:space="preserve"> And if any update in RAN1 on this aspect in later phase it can be taken into account as well.</w:t>
      </w:r>
    </w:p>
    <w:p w14:paraId="1D2DC693" w14:textId="28DB53CE" w:rsidR="00F74E2A" w:rsidRDefault="00F74E2A" w:rsidP="005A7DC5">
      <w:pPr>
        <w:rPr>
          <w:sz w:val="20"/>
          <w:szCs w:val="20"/>
        </w:rPr>
      </w:pPr>
      <w:r w:rsidRPr="00F06574">
        <w:rPr>
          <w:b/>
          <w:sz w:val="20"/>
          <w:szCs w:val="20"/>
        </w:rPr>
        <w:t>Obs</w:t>
      </w:r>
      <w:r w:rsidR="00F06574" w:rsidRPr="00F06574">
        <w:rPr>
          <w:b/>
          <w:sz w:val="20"/>
          <w:szCs w:val="20"/>
        </w:rPr>
        <w:t>ervation 2</w:t>
      </w:r>
      <w:r w:rsidR="00F06574">
        <w:rPr>
          <w:sz w:val="20"/>
          <w:szCs w:val="20"/>
        </w:rPr>
        <w:t>: guard band for FDM is under discussion in RAN1.</w:t>
      </w:r>
    </w:p>
    <w:p w14:paraId="012ABF9C" w14:textId="5A0F7D1F" w:rsidR="00F06574" w:rsidRPr="00B92F2E" w:rsidRDefault="00F06574" w:rsidP="005A7DC5">
      <w:pPr>
        <w:rPr>
          <w:sz w:val="20"/>
          <w:szCs w:val="20"/>
        </w:rPr>
      </w:pPr>
      <w:r w:rsidRPr="00F06574">
        <w:rPr>
          <w:b/>
          <w:sz w:val="20"/>
          <w:szCs w:val="20"/>
        </w:rPr>
        <w:t>Observation 3</w:t>
      </w:r>
      <w:r>
        <w:rPr>
          <w:sz w:val="20"/>
          <w:szCs w:val="20"/>
        </w:rPr>
        <w:t xml:space="preserve">: usually except channel edge guard band no other guard band specified in RAN4. </w:t>
      </w:r>
    </w:p>
    <w:p w14:paraId="1FD2A97B" w14:textId="1FB5CD11" w:rsidR="00380AD4" w:rsidRDefault="00380AD4" w:rsidP="005A7DC5">
      <w:pPr>
        <w:rPr>
          <w:sz w:val="20"/>
          <w:szCs w:val="20"/>
        </w:rPr>
      </w:pPr>
    </w:p>
    <w:p w14:paraId="1F035080" w14:textId="46CF734C" w:rsidR="00682372" w:rsidRDefault="00682372" w:rsidP="005A7DC5">
      <w:pPr>
        <w:rPr>
          <w:sz w:val="20"/>
          <w:szCs w:val="20"/>
        </w:rPr>
      </w:pPr>
      <w:r>
        <w:rPr>
          <w:sz w:val="20"/>
          <w:szCs w:val="20"/>
        </w:rPr>
        <w:t>Regarding power imbalance, there are two pos</w:t>
      </w:r>
      <w:r w:rsidR="004713B8">
        <w:rPr>
          <w:sz w:val="20"/>
          <w:szCs w:val="20"/>
        </w:rPr>
        <w:t>sible cases as below. For each case it’s desired that the difference of power to or from each logical interface would be in reasonable range to avoid the weaker one to be blocked or inferenced</w:t>
      </w:r>
      <w:r w:rsidR="00BC36D0">
        <w:rPr>
          <w:sz w:val="20"/>
          <w:szCs w:val="20"/>
        </w:rPr>
        <w:t xml:space="preserve"> by</w:t>
      </w:r>
      <w:r w:rsidR="004713B8">
        <w:rPr>
          <w:sz w:val="20"/>
          <w:szCs w:val="20"/>
        </w:rPr>
        <w:t xml:space="preserve"> </w:t>
      </w:r>
      <w:r w:rsidR="00BC36D0">
        <w:rPr>
          <w:sz w:val="20"/>
          <w:szCs w:val="20"/>
        </w:rPr>
        <w:t>signal with larger level</w:t>
      </w:r>
      <w:r w:rsidR="004713B8">
        <w:rPr>
          <w:sz w:val="20"/>
          <w:szCs w:val="20"/>
        </w:rPr>
        <w:t xml:space="preserve">. </w:t>
      </w:r>
    </w:p>
    <w:p w14:paraId="245C233E" w14:textId="3B126C87" w:rsidR="00682372" w:rsidRDefault="00682372" w:rsidP="00682372">
      <w:pPr>
        <w:pStyle w:val="a7"/>
        <w:numPr>
          <w:ilvl w:val="0"/>
          <w:numId w:val="10"/>
        </w:numPr>
        <w:ind w:firstLineChars="0"/>
        <w:rPr>
          <w:rFonts w:ascii="Calibri" w:hAnsi="Calibri" w:cs="Calibri"/>
          <w:sz w:val="20"/>
          <w:szCs w:val="20"/>
        </w:rPr>
      </w:pPr>
      <w:r w:rsidRPr="00682372">
        <w:rPr>
          <w:rFonts w:ascii="Calibri" w:hAnsi="Calibri" w:cs="Calibri"/>
          <w:sz w:val="20"/>
          <w:szCs w:val="20"/>
        </w:rPr>
        <w:t xml:space="preserve">TX power imbalance of own IAB node </w:t>
      </w:r>
      <w:r>
        <w:rPr>
          <w:rFonts w:ascii="Calibri" w:hAnsi="Calibri" w:cs="Calibri"/>
          <w:sz w:val="20"/>
          <w:szCs w:val="20"/>
        </w:rPr>
        <w:t xml:space="preserve">as </w:t>
      </w:r>
      <w:r w:rsidRPr="00682372">
        <w:rPr>
          <w:rFonts w:ascii="Calibri" w:hAnsi="Calibri" w:cs="Calibri"/>
          <w:sz w:val="20"/>
          <w:szCs w:val="20"/>
        </w:rPr>
        <w:t xml:space="preserve">power </w:t>
      </w:r>
      <w:r>
        <w:rPr>
          <w:rFonts w:ascii="Calibri" w:hAnsi="Calibri" w:cs="Calibri"/>
          <w:sz w:val="20"/>
          <w:szCs w:val="20"/>
        </w:rPr>
        <w:t xml:space="preserve">shared </w:t>
      </w:r>
      <w:r w:rsidR="007619D9">
        <w:rPr>
          <w:rFonts w:ascii="Calibri" w:hAnsi="Calibri" w:cs="Calibri"/>
          <w:sz w:val="20"/>
          <w:szCs w:val="20"/>
        </w:rPr>
        <w:t xml:space="preserve">simultaneously </w:t>
      </w:r>
      <w:r w:rsidRPr="00682372">
        <w:rPr>
          <w:rFonts w:ascii="Calibri" w:hAnsi="Calibri" w:cs="Calibri"/>
          <w:sz w:val="20"/>
          <w:szCs w:val="20"/>
        </w:rPr>
        <w:t>between</w:t>
      </w:r>
      <w:r>
        <w:rPr>
          <w:rFonts w:ascii="Calibri" w:hAnsi="Calibri" w:cs="Calibri"/>
          <w:sz w:val="20"/>
          <w:szCs w:val="20"/>
        </w:rPr>
        <w:t xml:space="preserve"> its</w:t>
      </w:r>
      <w:r w:rsidRPr="00682372">
        <w:rPr>
          <w:rFonts w:ascii="Calibri" w:hAnsi="Calibri" w:cs="Calibri"/>
          <w:sz w:val="20"/>
          <w:szCs w:val="20"/>
        </w:rPr>
        <w:t xml:space="preserve"> DU</w:t>
      </w:r>
      <w:r>
        <w:rPr>
          <w:rFonts w:ascii="Calibri" w:hAnsi="Calibri" w:cs="Calibri"/>
          <w:sz w:val="20"/>
          <w:szCs w:val="20"/>
        </w:rPr>
        <w:t>(-&gt;UE/ child IAB)</w:t>
      </w:r>
      <w:r w:rsidRPr="00682372">
        <w:rPr>
          <w:rFonts w:ascii="Calibri" w:hAnsi="Calibri" w:cs="Calibri"/>
          <w:sz w:val="20"/>
          <w:szCs w:val="20"/>
        </w:rPr>
        <w:t xml:space="preserve"> and MT</w:t>
      </w:r>
      <w:r>
        <w:rPr>
          <w:rFonts w:ascii="Calibri" w:hAnsi="Calibri" w:cs="Calibri"/>
          <w:sz w:val="20"/>
          <w:szCs w:val="20"/>
        </w:rPr>
        <w:t>(-&gt;parent node)</w:t>
      </w:r>
    </w:p>
    <w:p w14:paraId="28583D4F" w14:textId="703C0FC9" w:rsidR="00682372" w:rsidRDefault="00682372" w:rsidP="00682372">
      <w:pPr>
        <w:pStyle w:val="a7"/>
        <w:numPr>
          <w:ilvl w:val="0"/>
          <w:numId w:val="10"/>
        </w:numPr>
        <w:ind w:firstLineChars="0"/>
        <w:rPr>
          <w:rFonts w:ascii="Calibri" w:hAnsi="Calibri" w:cs="Calibri"/>
          <w:sz w:val="20"/>
          <w:szCs w:val="20"/>
        </w:rPr>
      </w:pPr>
      <w:r w:rsidRPr="00682372">
        <w:rPr>
          <w:rFonts w:ascii="Calibri" w:hAnsi="Calibri" w:cs="Calibri"/>
          <w:sz w:val="20"/>
          <w:szCs w:val="20"/>
        </w:rPr>
        <w:t xml:space="preserve">RX power imbalance of own </w:t>
      </w:r>
      <w:r>
        <w:rPr>
          <w:rFonts w:ascii="Calibri" w:hAnsi="Calibri" w:cs="Calibri"/>
          <w:sz w:val="20"/>
          <w:szCs w:val="20"/>
        </w:rPr>
        <w:t xml:space="preserve">IAB </w:t>
      </w:r>
      <w:r w:rsidRPr="00682372">
        <w:rPr>
          <w:rFonts w:ascii="Calibri" w:hAnsi="Calibri" w:cs="Calibri"/>
          <w:sz w:val="20"/>
          <w:szCs w:val="20"/>
        </w:rPr>
        <w:t xml:space="preserve">node </w:t>
      </w:r>
      <w:r>
        <w:rPr>
          <w:rFonts w:ascii="Calibri" w:hAnsi="Calibri" w:cs="Calibri"/>
          <w:sz w:val="20"/>
          <w:szCs w:val="20"/>
        </w:rPr>
        <w:t>as</w:t>
      </w:r>
      <w:r w:rsidRPr="00682372">
        <w:rPr>
          <w:rFonts w:ascii="Calibri" w:hAnsi="Calibri" w:cs="Calibri"/>
          <w:sz w:val="20"/>
          <w:szCs w:val="20"/>
        </w:rPr>
        <w:t xml:space="preserve"> power received</w:t>
      </w:r>
      <w:r w:rsidR="007619D9">
        <w:rPr>
          <w:rFonts w:ascii="Calibri" w:hAnsi="Calibri" w:cs="Calibri"/>
          <w:sz w:val="20"/>
          <w:szCs w:val="20"/>
        </w:rPr>
        <w:t xml:space="preserve"> simultaneously</w:t>
      </w:r>
      <w:r w:rsidRPr="00682372">
        <w:rPr>
          <w:rFonts w:ascii="Calibri" w:hAnsi="Calibri" w:cs="Calibri"/>
          <w:sz w:val="20"/>
          <w:szCs w:val="20"/>
        </w:rPr>
        <w:t xml:space="preserve"> from </w:t>
      </w:r>
      <w:r>
        <w:rPr>
          <w:rFonts w:ascii="Calibri" w:hAnsi="Calibri" w:cs="Calibri"/>
          <w:sz w:val="20"/>
          <w:szCs w:val="20"/>
        </w:rPr>
        <w:t>its DU(&lt;-</w:t>
      </w:r>
      <w:r w:rsidRPr="00682372">
        <w:rPr>
          <w:rFonts w:ascii="Calibri" w:hAnsi="Calibri" w:cs="Calibri"/>
          <w:sz w:val="20"/>
          <w:szCs w:val="20"/>
        </w:rPr>
        <w:t>UE</w:t>
      </w:r>
      <w:r>
        <w:rPr>
          <w:rFonts w:ascii="Calibri" w:hAnsi="Calibri" w:cs="Calibri"/>
          <w:sz w:val="20"/>
          <w:szCs w:val="20"/>
        </w:rPr>
        <w:t>/child IAB node)</w:t>
      </w:r>
      <w:r w:rsidRPr="00682372">
        <w:rPr>
          <w:rFonts w:ascii="Calibri" w:hAnsi="Calibri" w:cs="Calibri"/>
          <w:sz w:val="20"/>
          <w:szCs w:val="20"/>
        </w:rPr>
        <w:t xml:space="preserve"> and </w:t>
      </w:r>
      <w:r>
        <w:rPr>
          <w:rFonts w:ascii="Calibri" w:hAnsi="Calibri" w:cs="Calibri"/>
          <w:sz w:val="20"/>
          <w:szCs w:val="20"/>
        </w:rPr>
        <w:t>MT(&lt;-</w:t>
      </w:r>
      <w:r w:rsidRPr="00682372">
        <w:rPr>
          <w:rFonts w:ascii="Calibri" w:hAnsi="Calibri" w:cs="Calibri"/>
          <w:sz w:val="20"/>
          <w:szCs w:val="20"/>
        </w:rPr>
        <w:t>parent node</w:t>
      </w:r>
      <w:r>
        <w:rPr>
          <w:rFonts w:ascii="Calibri" w:hAnsi="Calibri" w:cs="Calibri"/>
          <w:sz w:val="20"/>
          <w:szCs w:val="20"/>
        </w:rPr>
        <w:t>)</w:t>
      </w:r>
    </w:p>
    <w:p w14:paraId="6764F638" w14:textId="0DA261FF" w:rsidR="00682372" w:rsidRPr="00682372" w:rsidRDefault="00682372" w:rsidP="00682372">
      <w:pPr>
        <w:rPr>
          <w:sz w:val="20"/>
          <w:szCs w:val="20"/>
        </w:rPr>
      </w:pPr>
    </w:p>
    <w:p w14:paraId="59FD5591" w14:textId="1720483E" w:rsidR="00F74E2A" w:rsidRPr="00F31156" w:rsidRDefault="00F74E2A" w:rsidP="00F74E2A">
      <w:pPr>
        <w:rPr>
          <w:sz w:val="20"/>
          <w:szCs w:val="20"/>
        </w:rPr>
      </w:pPr>
      <w:r>
        <w:rPr>
          <w:rFonts w:hint="eastAsia"/>
          <w:sz w:val="20"/>
          <w:szCs w:val="20"/>
        </w:rPr>
        <w:t>W</w:t>
      </w:r>
      <w:r>
        <w:rPr>
          <w:sz w:val="20"/>
          <w:szCs w:val="20"/>
        </w:rPr>
        <w:t xml:space="preserve">ith respect to </w:t>
      </w:r>
      <w:r w:rsidR="00F31156">
        <w:rPr>
          <w:sz w:val="20"/>
          <w:szCs w:val="20"/>
        </w:rPr>
        <w:t xml:space="preserve">TX </w:t>
      </w:r>
      <w:r>
        <w:rPr>
          <w:sz w:val="20"/>
          <w:szCs w:val="20"/>
        </w:rPr>
        <w:t>power imbalance</w:t>
      </w:r>
      <w:r w:rsidR="00F31156">
        <w:rPr>
          <w:sz w:val="20"/>
          <w:szCs w:val="20"/>
        </w:rPr>
        <w:t xml:space="preserve"> of IAB node</w:t>
      </w:r>
      <w:r>
        <w:rPr>
          <w:sz w:val="20"/>
          <w:szCs w:val="20"/>
        </w:rPr>
        <w:t xml:space="preserve"> </w:t>
      </w:r>
      <w:r w:rsidR="00F31156">
        <w:rPr>
          <w:sz w:val="20"/>
          <w:szCs w:val="20"/>
        </w:rPr>
        <w:t xml:space="preserve">RAN1 agreement in RAN1#105e is as below to provide solution on how to mitigate the power imbalance between MT UL TX and DU DL TX by assistance information to adjust MT TX power.  </w:t>
      </w:r>
    </w:p>
    <w:tbl>
      <w:tblPr>
        <w:tblStyle w:val="a6"/>
        <w:tblW w:w="0" w:type="auto"/>
        <w:tblLook w:val="04A0" w:firstRow="1" w:lastRow="0" w:firstColumn="1" w:lastColumn="0" w:noHBand="0" w:noVBand="1"/>
      </w:tblPr>
      <w:tblGrid>
        <w:gridCol w:w="10456"/>
      </w:tblGrid>
      <w:tr w:rsidR="00F74E2A" w14:paraId="67DF0FB2" w14:textId="77777777" w:rsidTr="00253C17">
        <w:tc>
          <w:tcPr>
            <w:tcW w:w="10456" w:type="dxa"/>
          </w:tcPr>
          <w:p w14:paraId="66C87703" w14:textId="77777777" w:rsidR="00F74E2A" w:rsidRPr="00CF3428" w:rsidRDefault="00F74E2A" w:rsidP="00253C17">
            <w:pPr>
              <w:rPr>
                <w:rFonts w:ascii="Arial" w:hAnsi="Arial" w:cs="Arial"/>
                <w:b/>
                <w:bCs/>
                <w:sz w:val="16"/>
                <w:szCs w:val="16"/>
                <w:highlight w:val="green"/>
                <w:lang w:eastAsia="x-none"/>
              </w:rPr>
            </w:pPr>
            <w:r w:rsidRPr="00CF3428">
              <w:rPr>
                <w:rFonts w:ascii="Arial" w:hAnsi="Arial" w:cs="Arial"/>
                <w:b/>
                <w:bCs/>
                <w:sz w:val="16"/>
                <w:szCs w:val="16"/>
                <w:highlight w:val="green"/>
                <w:lang w:eastAsia="x-none"/>
              </w:rPr>
              <w:t xml:space="preserve">Agreement </w:t>
            </w:r>
          </w:p>
          <w:p w14:paraId="338A980A" w14:textId="77777777" w:rsidR="00F74E2A" w:rsidRPr="00CF3428" w:rsidRDefault="00F74E2A" w:rsidP="00253C17">
            <w:pPr>
              <w:rPr>
                <w:rFonts w:ascii="Arial" w:eastAsia="Calibri" w:hAnsi="Arial" w:cs="Arial"/>
                <w:sz w:val="16"/>
                <w:szCs w:val="16"/>
              </w:rPr>
            </w:pPr>
            <w:r w:rsidRPr="00CF3428">
              <w:rPr>
                <w:rFonts w:ascii="Arial" w:eastAsia="Calibri" w:hAnsi="Arial" w:cs="Arial"/>
                <w:sz w:val="16"/>
                <w:szCs w:val="16"/>
              </w:rPr>
              <w:t>Decide in RAN1#106-e whether to support an IAB-node indicating assistance information to help with its MT’s UL TX power control. The assistance information can be:</w:t>
            </w:r>
          </w:p>
          <w:p w14:paraId="66F78B53" w14:textId="77777777" w:rsidR="00F74E2A" w:rsidRPr="00CF3428" w:rsidRDefault="00F74E2A" w:rsidP="00253C17">
            <w:pPr>
              <w:pStyle w:val="a7"/>
              <w:numPr>
                <w:ilvl w:val="0"/>
                <w:numId w:val="6"/>
              </w:numPr>
              <w:ind w:firstLineChars="0"/>
              <w:contextualSpacing/>
              <w:textAlignment w:val="baseline"/>
              <w:rPr>
                <w:rFonts w:ascii="Arial" w:eastAsia="MS PGothic" w:hAnsi="Arial" w:cs="Arial"/>
                <w:sz w:val="16"/>
                <w:szCs w:val="16"/>
              </w:rPr>
            </w:pPr>
            <w:r w:rsidRPr="00CF3428">
              <w:rPr>
                <w:rFonts w:ascii="Arial" w:hAnsi="Arial" w:cs="Arial"/>
                <w:sz w:val="16"/>
                <w:szCs w:val="16"/>
              </w:rPr>
              <w:t>FFS: Desired TX power</w:t>
            </w:r>
          </w:p>
          <w:p w14:paraId="41A8EB3C" w14:textId="77777777" w:rsidR="00F74E2A" w:rsidRPr="00CF3428" w:rsidRDefault="00F74E2A" w:rsidP="00253C17">
            <w:pPr>
              <w:pStyle w:val="a7"/>
              <w:numPr>
                <w:ilvl w:val="0"/>
                <w:numId w:val="6"/>
              </w:numPr>
              <w:ind w:firstLineChars="0"/>
              <w:contextualSpacing/>
              <w:textAlignment w:val="baseline"/>
              <w:rPr>
                <w:rFonts w:ascii="Arial" w:eastAsia="MS PGothic" w:hAnsi="Arial" w:cs="Arial"/>
                <w:sz w:val="16"/>
                <w:szCs w:val="16"/>
              </w:rPr>
            </w:pPr>
            <w:r w:rsidRPr="00CF3428">
              <w:rPr>
                <w:rFonts w:ascii="Arial" w:hAnsi="Arial" w:cs="Arial"/>
                <w:sz w:val="16"/>
                <w:szCs w:val="16"/>
              </w:rPr>
              <w:t>FFS: Offset to a baseline PHR</w:t>
            </w:r>
          </w:p>
          <w:p w14:paraId="08552ED9" w14:textId="77777777" w:rsidR="00F74E2A" w:rsidRPr="00CF3428" w:rsidRDefault="00F74E2A" w:rsidP="00253C17">
            <w:pPr>
              <w:pStyle w:val="a7"/>
              <w:numPr>
                <w:ilvl w:val="0"/>
                <w:numId w:val="6"/>
              </w:numPr>
              <w:ind w:firstLineChars="0"/>
              <w:contextualSpacing/>
              <w:textAlignment w:val="baseline"/>
              <w:rPr>
                <w:rFonts w:ascii="Arial" w:eastAsia="MS PGothic" w:hAnsi="Arial" w:cs="Arial"/>
                <w:sz w:val="16"/>
                <w:szCs w:val="16"/>
              </w:rPr>
            </w:pPr>
            <w:r w:rsidRPr="00CF3428">
              <w:rPr>
                <w:rFonts w:ascii="Arial" w:hAnsi="Arial" w:cs="Arial"/>
                <w:sz w:val="16"/>
                <w:szCs w:val="16"/>
              </w:rPr>
              <w:t>FFS: Desired dynamic range</w:t>
            </w:r>
          </w:p>
          <w:p w14:paraId="46F2EA56" w14:textId="77777777" w:rsidR="00F74E2A" w:rsidRPr="00CF3428" w:rsidRDefault="00F74E2A" w:rsidP="00253C17">
            <w:pPr>
              <w:rPr>
                <w:rFonts w:ascii="Arial" w:hAnsi="Arial" w:cs="Arial"/>
                <w:sz w:val="16"/>
                <w:szCs w:val="16"/>
              </w:rPr>
            </w:pPr>
            <w:r w:rsidRPr="00CF3428">
              <w:rPr>
                <w:rFonts w:ascii="Arial" w:hAnsi="Arial" w:cs="Arial"/>
                <w:sz w:val="16"/>
                <w:szCs w:val="16"/>
              </w:rPr>
              <w:t>FFS: whether this information is provided to the parent-node, the CU, or both.</w:t>
            </w:r>
          </w:p>
          <w:p w14:paraId="7014C539" w14:textId="77777777" w:rsidR="00F74E2A" w:rsidRPr="00CF3428" w:rsidRDefault="00F74E2A" w:rsidP="00253C17">
            <w:pPr>
              <w:rPr>
                <w:rFonts w:eastAsia="MS PGothic" w:cs="Times"/>
                <w:lang w:eastAsia="ja-JP"/>
              </w:rPr>
            </w:pPr>
            <w:r w:rsidRPr="00CF3428">
              <w:rPr>
                <w:rFonts w:ascii="Arial" w:hAnsi="Arial" w:cs="Arial"/>
                <w:sz w:val="16"/>
                <w:szCs w:val="16"/>
              </w:rPr>
              <w:t xml:space="preserve">FFS: whether the MT’s UL TX power control formula needs to be changed </w:t>
            </w:r>
          </w:p>
        </w:tc>
      </w:tr>
    </w:tbl>
    <w:p w14:paraId="736A0065" w14:textId="77777777" w:rsidR="00F74E2A" w:rsidRPr="00C55E2C" w:rsidRDefault="00F74E2A" w:rsidP="00F74E2A">
      <w:pPr>
        <w:rPr>
          <w:rFonts w:cs="Times"/>
        </w:rPr>
      </w:pPr>
    </w:p>
    <w:p w14:paraId="2E8C3063" w14:textId="1E7943AA" w:rsidR="00F31156" w:rsidRPr="00F31156" w:rsidRDefault="00F31156" w:rsidP="00F31156">
      <w:pPr>
        <w:rPr>
          <w:sz w:val="20"/>
          <w:szCs w:val="20"/>
        </w:rPr>
      </w:pPr>
      <w:r>
        <w:rPr>
          <w:rFonts w:hint="eastAsia"/>
          <w:sz w:val="20"/>
          <w:szCs w:val="20"/>
        </w:rPr>
        <w:t>W</w:t>
      </w:r>
      <w:r>
        <w:rPr>
          <w:sz w:val="20"/>
          <w:szCs w:val="20"/>
        </w:rPr>
        <w:t xml:space="preserve">ith respect to RX power imbalance of IAB node RAN1 agreement in RAN1#105e is as below to provide solution on how to mitigate the power imbalance between MT DL RX and DU UL RX by assistance information to adjust parent node DL TX power.  </w:t>
      </w:r>
    </w:p>
    <w:tbl>
      <w:tblPr>
        <w:tblStyle w:val="a6"/>
        <w:tblW w:w="0" w:type="auto"/>
        <w:tblLook w:val="04A0" w:firstRow="1" w:lastRow="0" w:firstColumn="1" w:lastColumn="0" w:noHBand="0" w:noVBand="1"/>
      </w:tblPr>
      <w:tblGrid>
        <w:gridCol w:w="10456"/>
      </w:tblGrid>
      <w:tr w:rsidR="00F74E2A" w14:paraId="6BBF18F8" w14:textId="77777777" w:rsidTr="00253C17">
        <w:tc>
          <w:tcPr>
            <w:tcW w:w="10456" w:type="dxa"/>
          </w:tcPr>
          <w:p w14:paraId="7ECABE3F" w14:textId="77777777" w:rsidR="00F74E2A" w:rsidRPr="00CF3428" w:rsidRDefault="00F74E2A" w:rsidP="00253C17">
            <w:pPr>
              <w:rPr>
                <w:rFonts w:ascii="Arial" w:hAnsi="Arial" w:cs="Arial"/>
                <w:b/>
                <w:bCs/>
                <w:sz w:val="16"/>
                <w:szCs w:val="16"/>
                <w:highlight w:val="yellow"/>
              </w:rPr>
            </w:pPr>
            <w:r w:rsidRPr="00CF3428">
              <w:rPr>
                <w:rFonts w:ascii="Arial" w:hAnsi="Arial" w:cs="Arial"/>
                <w:b/>
                <w:bCs/>
                <w:sz w:val="16"/>
                <w:szCs w:val="16"/>
                <w:highlight w:val="green"/>
              </w:rPr>
              <w:t>Agreement 11</w:t>
            </w:r>
          </w:p>
          <w:p w14:paraId="42F17584" w14:textId="77777777" w:rsidR="00F74E2A" w:rsidRPr="00CF3428" w:rsidRDefault="00F74E2A" w:rsidP="00253C17">
            <w:pPr>
              <w:rPr>
                <w:rFonts w:ascii="Arial" w:eastAsia="Calibri" w:hAnsi="Arial" w:cs="Arial"/>
                <w:sz w:val="16"/>
                <w:szCs w:val="16"/>
              </w:rPr>
            </w:pPr>
            <w:r w:rsidRPr="00CF3428">
              <w:rPr>
                <w:rFonts w:ascii="Arial" w:eastAsia="Calibri" w:hAnsi="Arial" w:cs="Arial"/>
                <w:sz w:val="16"/>
                <w:szCs w:val="16"/>
              </w:rPr>
              <w:t>The information to assist DL power allocation of the parent-node is indicated by the IAB-MT to the parent node DU in terms of desired power adjustment.</w:t>
            </w:r>
          </w:p>
          <w:p w14:paraId="443621E5" w14:textId="77777777" w:rsidR="00F74E2A" w:rsidRPr="00CF3428" w:rsidRDefault="00F74E2A" w:rsidP="00253C17">
            <w:pPr>
              <w:pStyle w:val="a7"/>
              <w:numPr>
                <w:ilvl w:val="0"/>
                <w:numId w:val="6"/>
              </w:numPr>
              <w:ind w:firstLineChars="0"/>
              <w:contextualSpacing/>
              <w:textAlignment w:val="baseline"/>
              <w:rPr>
                <w:rFonts w:cs="Times"/>
              </w:rPr>
            </w:pPr>
            <w:r w:rsidRPr="00CF3428">
              <w:rPr>
                <w:rFonts w:ascii="Arial" w:hAnsi="Arial" w:cs="Arial"/>
                <w:sz w:val="16"/>
                <w:szCs w:val="16"/>
              </w:rPr>
              <w:t>FFS applicability of assistance information, e.g. per multiplexing scenario, per resource, etc.</w:t>
            </w:r>
          </w:p>
        </w:tc>
      </w:tr>
    </w:tbl>
    <w:p w14:paraId="1B92636F" w14:textId="77777777" w:rsidR="00F74E2A" w:rsidRDefault="00F74E2A" w:rsidP="005A7DC5">
      <w:pPr>
        <w:rPr>
          <w:sz w:val="20"/>
          <w:szCs w:val="20"/>
        </w:rPr>
      </w:pPr>
    </w:p>
    <w:p w14:paraId="2D25A43B" w14:textId="4AC6AB2D" w:rsidR="00F31156" w:rsidRPr="00C16E57" w:rsidRDefault="00F31156" w:rsidP="005A7DC5">
      <w:pPr>
        <w:rPr>
          <w:rFonts w:ascii="Calibri" w:hAnsi="Calibri" w:cs="Calibri"/>
          <w:sz w:val="20"/>
          <w:szCs w:val="20"/>
        </w:rPr>
      </w:pPr>
      <w:r w:rsidRPr="00C16E57">
        <w:rPr>
          <w:rFonts w:ascii="Calibri" w:hAnsi="Calibri" w:cs="Calibri"/>
          <w:b/>
          <w:sz w:val="20"/>
          <w:szCs w:val="20"/>
        </w:rPr>
        <w:t>Observation 4</w:t>
      </w:r>
      <w:r w:rsidRPr="00C16E57">
        <w:rPr>
          <w:rFonts w:ascii="Calibri" w:hAnsi="Calibri" w:cs="Calibri"/>
          <w:sz w:val="20"/>
          <w:szCs w:val="20"/>
        </w:rPr>
        <w:t xml:space="preserve">: </w:t>
      </w:r>
      <w:r w:rsidRPr="00C16E57">
        <w:rPr>
          <w:rFonts w:ascii="Calibri" w:eastAsia="Calibri" w:hAnsi="Calibri" w:cs="Calibri"/>
          <w:sz w:val="20"/>
          <w:szCs w:val="20"/>
        </w:rPr>
        <w:t>There is discussion in RAN1 regarding power control</w:t>
      </w:r>
      <w:r w:rsidR="00C16E57">
        <w:rPr>
          <w:rFonts w:ascii="Calibri" w:eastAsia="Calibri" w:hAnsi="Calibri" w:cs="Calibri"/>
          <w:sz w:val="20"/>
          <w:szCs w:val="20"/>
        </w:rPr>
        <w:t xml:space="preserve"> should be applicable to mitigate power imbalance issue. </w:t>
      </w:r>
    </w:p>
    <w:p w14:paraId="42A1C08E" w14:textId="77777777" w:rsidR="00C16E57" w:rsidRDefault="00C16E57" w:rsidP="00BC36D0">
      <w:pPr>
        <w:rPr>
          <w:sz w:val="20"/>
          <w:szCs w:val="20"/>
        </w:rPr>
      </w:pPr>
    </w:p>
    <w:p w14:paraId="14EEDB87" w14:textId="47CFEA2F" w:rsidR="00BC36D0" w:rsidRDefault="00C16E57" w:rsidP="00BC36D0">
      <w:pPr>
        <w:rPr>
          <w:sz w:val="20"/>
          <w:szCs w:val="20"/>
        </w:rPr>
      </w:pPr>
      <w:r>
        <w:rPr>
          <w:sz w:val="20"/>
          <w:szCs w:val="20"/>
        </w:rPr>
        <w:t>Even though there could be possible solution to mitigate the</w:t>
      </w:r>
      <w:r w:rsidR="00BD5415">
        <w:rPr>
          <w:sz w:val="20"/>
          <w:szCs w:val="20"/>
        </w:rPr>
        <w:t xml:space="preserve"> power imbalance with assistant information, it could not be guaranteed that power to </w:t>
      </w:r>
      <w:r w:rsidR="005B6A03">
        <w:rPr>
          <w:sz w:val="20"/>
          <w:szCs w:val="20"/>
        </w:rPr>
        <w:t>be faced by</w:t>
      </w:r>
      <w:r w:rsidR="00BD5415">
        <w:rPr>
          <w:sz w:val="20"/>
          <w:szCs w:val="20"/>
        </w:rPr>
        <w:t xml:space="preserve"> </w:t>
      </w:r>
      <w:r w:rsidR="005B6A03">
        <w:rPr>
          <w:sz w:val="20"/>
          <w:szCs w:val="20"/>
        </w:rPr>
        <w:t>IAB-DU and IAB-MT</w:t>
      </w:r>
      <w:r w:rsidR="00BD5415">
        <w:rPr>
          <w:sz w:val="20"/>
          <w:szCs w:val="20"/>
        </w:rPr>
        <w:t xml:space="preserve"> could be always the same. </w:t>
      </w:r>
      <w:r w:rsidR="005B6A03">
        <w:rPr>
          <w:sz w:val="20"/>
          <w:szCs w:val="20"/>
        </w:rPr>
        <w:t xml:space="preserve">Hence it’s suggested to see the estimation </w:t>
      </w:r>
      <w:r w:rsidR="005B6A03">
        <w:rPr>
          <w:sz w:val="20"/>
          <w:szCs w:val="20"/>
        </w:rPr>
        <w:lastRenderedPageBreak/>
        <w:t>on imbalance level can IAB node</w:t>
      </w:r>
      <w:r w:rsidR="00956879">
        <w:rPr>
          <w:sz w:val="20"/>
          <w:szCs w:val="20"/>
        </w:rPr>
        <w:t xml:space="preserve"> bear</w:t>
      </w:r>
      <w:r w:rsidR="005B6A03">
        <w:rPr>
          <w:sz w:val="20"/>
          <w:szCs w:val="20"/>
        </w:rPr>
        <w:t xml:space="preserve"> based on existing IAB RF requirements.</w:t>
      </w:r>
      <w:r w:rsidR="00FF402B">
        <w:rPr>
          <w:sz w:val="20"/>
          <w:szCs w:val="20"/>
        </w:rPr>
        <w:t xml:space="preserve"> </w:t>
      </w:r>
      <w:r w:rsidR="00031126">
        <w:rPr>
          <w:sz w:val="20"/>
          <w:szCs w:val="20"/>
        </w:rPr>
        <w:t xml:space="preserve">Then it could be checked further whether improvement or additional requirement should be brought in for the new cases in Rel-17. </w:t>
      </w:r>
    </w:p>
    <w:p w14:paraId="617F5F67" w14:textId="21F03CB5" w:rsidR="00FF402B" w:rsidRDefault="00FF402B" w:rsidP="00BC36D0">
      <w:pPr>
        <w:rPr>
          <w:sz w:val="20"/>
          <w:szCs w:val="20"/>
        </w:rPr>
      </w:pPr>
      <w:r>
        <w:rPr>
          <w:sz w:val="20"/>
          <w:szCs w:val="20"/>
        </w:rPr>
        <w:t xml:space="preserve">For </w:t>
      </w:r>
      <w:r w:rsidR="003678B8">
        <w:rPr>
          <w:sz w:val="20"/>
          <w:szCs w:val="20"/>
        </w:rPr>
        <w:t>TX power</w:t>
      </w:r>
      <w:r>
        <w:rPr>
          <w:sz w:val="20"/>
          <w:szCs w:val="20"/>
        </w:rPr>
        <w:t>, there is TX power dynamic range defined for IAB-MT contains both RB allocation adjustment and PSD adjustment cap</w:t>
      </w:r>
      <w:r w:rsidR="007F5EAE">
        <w:rPr>
          <w:sz w:val="20"/>
          <w:szCs w:val="20"/>
        </w:rPr>
        <w:t xml:space="preserve">ability. For PSD adjustment </w:t>
      </w:r>
      <w:r w:rsidR="00031126">
        <w:rPr>
          <w:sz w:val="20"/>
          <w:szCs w:val="20"/>
        </w:rPr>
        <w:t>5dB for Wide Area IAB-MT and 10dB for Local Area IAB-MT</w:t>
      </w:r>
      <w:r w:rsidR="007F5EAE">
        <w:rPr>
          <w:sz w:val="20"/>
          <w:szCs w:val="20"/>
        </w:rPr>
        <w:t xml:space="preserve"> are defined</w:t>
      </w:r>
      <w:r w:rsidR="00031126">
        <w:rPr>
          <w:sz w:val="20"/>
          <w:szCs w:val="20"/>
        </w:rPr>
        <w:t xml:space="preserve">. The absolute PSD range defined for IAB-MT is not as large as UE considering that IAB node is fixed deployed without mobility and the output power could be configured to certain range to cope with certain deployment environment. </w:t>
      </w:r>
      <w:r w:rsidR="003678B8">
        <w:rPr>
          <w:sz w:val="20"/>
          <w:szCs w:val="20"/>
          <w:lang w:val="en-GB"/>
        </w:rPr>
        <w:t>I</w:t>
      </w:r>
      <w:r w:rsidR="003678B8" w:rsidRPr="003678B8">
        <w:rPr>
          <w:sz w:val="20"/>
          <w:szCs w:val="20"/>
          <w:lang w:val="en-GB"/>
        </w:rPr>
        <w:t>n Rel-17 it’s supposed that IAB is still deployed in the condition of fixed location and relative stable output power condition without dramatic power</w:t>
      </w:r>
      <w:r w:rsidR="003678B8" w:rsidRPr="003678B8">
        <w:rPr>
          <w:sz w:val="20"/>
          <w:szCs w:val="20"/>
        </w:rPr>
        <w:t xml:space="preserve"> </w:t>
      </w:r>
      <w:r w:rsidR="003678B8" w:rsidRPr="003678B8">
        <w:rPr>
          <w:sz w:val="20"/>
          <w:szCs w:val="20"/>
          <w:lang w:val="en-GB"/>
        </w:rPr>
        <w:t>fluctuation even on UL to parent node.</w:t>
      </w:r>
      <w:r w:rsidR="003678B8">
        <w:rPr>
          <w:lang w:val="en-GB"/>
        </w:rPr>
        <w:t xml:space="preserve"> </w:t>
      </w:r>
      <w:r w:rsidR="000A17BF">
        <w:rPr>
          <w:sz w:val="20"/>
          <w:szCs w:val="20"/>
        </w:rPr>
        <w:t>Additional, for FR1 IAB-DU will also support RE power boosting and de-boosting as FR1 gNB does</w:t>
      </w:r>
      <w:r w:rsidR="00DD46E9">
        <w:rPr>
          <w:sz w:val="20"/>
          <w:szCs w:val="20"/>
        </w:rPr>
        <w:t xml:space="preserve"> for relative lower order modulation scheme</w:t>
      </w:r>
      <w:r w:rsidR="000A17BF">
        <w:rPr>
          <w:sz w:val="20"/>
          <w:szCs w:val="20"/>
        </w:rPr>
        <w:t xml:space="preserve">. </w:t>
      </w:r>
    </w:p>
    <w:p w14:paraId="7FF13580" w14:textId="7D78AAFA" w:rsidR="00C3052B" w:rsidRPr="00E073DD" w:rsidRDefault="00C3052B" w:rsidP="00BC36D0">
      <w:pPr>
        <w:rPr>
          <w:sz w:val="20"/>
          <w:szCs w:val="20"/>
          <w:lang w:val="en-GB"/>
        </w:rPr>
      </w:pPr>
      <w:r w:rsidRPr="00C3052B">
        <w:rPr>
          <w:b/>
          <w:sz w:val="20"/>
          <w:szCs w:val="20"/>
        </w:rPr>
        <w:t>Observation 5</w:t>
      </w:r>
      <w:r>
        <w:rPr>
          <w:sz w:val="20"/>
          <w:szCs w:val="20"/>
        </w:rPr>
        <w:t xml:space="preserve">: </w:t>
      </w:r>
      <w:r w:rsidRPr="003E6FA5">
        <w:rPr>
          <w:sz w:val="20"/>
          <w:szCs w:val="20"/>
          <w:lang w:val="en-GB"/>
        </w:rPr>
        <w:t>For</w:t>
      </w:r>
      <w:r w:rsidR="00E073DD">
        <w:rPr>
          <w:sz w:val="20"/>
          <w:szCs w:val="20"/>
          <w:lang w:val="en-GB"/>
        </w:rPr>
        <w:t xml:space="preserve"> Rel-16</w:t>
      </w:r>
      <w:r w:rsidRPr="003E6FA5">
        <w:rPr>
          <w:sz w:val="20"/>
          <w:szCs w:val="20"/>
          <w:lang w:val="en-GB"/>
        </w:rPr>
        <w:t xml:space="preserve"> IAB </w:t>
      </w:r>
      <w:r w:rsidR="004B12DC">
        <w:rPr>
          <w:sz w:val="20"/>
          <w:szCs w:val="20"/>
          <w:lang w:val="en-GB"/>
        </w:rPr>
        <w:t xml:space="preserve">TX </w:t>
      </w:r>
      <w:r w:rsidRPr="003E6FA5">
        <w:rPr>
          <w:sz w:val="20"/>
          <w:szCs w:val="20"/>
          <w:lang w:val="en-GB"/>
        </w:rPr>
        <w:t>dynamic range</w:t>
      </w:r>
      <w:r w:rsidR="00E073DD">
        <w:rPr>
          <w:sz w:val="20"/>
          <w:szCs w:val="20"/>
          <w:lang w:val="en-GB"/>
        </w:rPr>
        <w:t xml:space="preserve"> for both MT and DU</w:t>
      </w:r>
      <w:r w:rsidRPr="003E6FA5">
        <w:rPr>
          <w:sz w:val="20"/>
          <w:szCs w:val="20"/>
          <w:lang w:val="en-GB"/>
        </w:rPr>
        <w:t xml:space="preserve"> </w:t>
      </w:r>
      <w:r w:rsidR="007F5EAE">
        <w:rPr>
          <w:sz w:val="20"/>
          <w:szCs w:val="20"/>
          <w:lang w:val="en-GB"/>
        </w:rPr>
        <w:t xml:space="preserve">are </w:t>
      </w:r>
      <w:r w:rsidRPr="003E6FA5">
        <w:rPr>
          <w:sz w:val="20"/>
          <w:szCs w:val="20"/>
          <w:lang w:val="en-GB"/>
        </w:rPr>
        <w:t>defined.</w:t>
      </w:r>
    </w:p>
    <w:p w14:paraId="7668A5BF" w14:textId="2D55874D" w:rsidR="00AD063B" w:rsidRPr="004B12DC" w:rsidRDefault="00031BE6" w:rsidP="00BC36D0">
      <w:pPr>
        <w:rPr>
          <w:sz w:val="20"/>
          <w:szCs w:val="20"/>
        </w:rPr>
      </w:pPr>
      <w:r>
        <w:rPr>
          <w:sz w:val="20"/>
          <w:szCs w:val="20"/>
        </w:rPr>
        <w:t xml:space="preserve">According to </w:t>
      </w:r>
      <w:r w:rsidR="00AD063B">
        <w:rPr>
          <w:sz w:val="20"/>
          <w:szCs w:val="20"/>
        </w:rPr>
        <w:t xml:space="preserve">Rel-16 </w:t>
      </w:r>
      <w:r>
        <w:rPr>
          <w:sz w:val="20"/>
          <w:szCs w:val="20"/>
        </w:rPr>
        <w:t>co-existence study, IAB-MT ACLR and ACS is the same as IAB-DU, which is the same as gNB</w:t>
      </w:r>
      <w:r w:rsidR="007F5EAE">
        <w:rPr>
          <w:sz w:val="20"/>
          <w:szCs w:val="20"/>
        </w:rPr>
        <w:t xml:space="preserve"> requirement</w:t>
      </w:r>
      <w:r>
        <w:rPr>
          <w:sz w:val="20"/>
          <w:szCs w:val="20"/>
        </w:rPr>
        <w:t xml:space="preserve"> in the other word, except ACLR for FR2 Local Area </w:t>
      </w:r>
      <w:r w:rsidR="00AD063B">
        <w:rPr>
          <w:sz w:val="20"/>
          <w:szCs w:val="20"/>
        </w:rPr>
        <w:t xml:space="preserve">IAB-MT </w:t>
      </w:r>
      <w:r>
        <w:rPr>
          <w:sz w:val="20"/>
          <w:szCs w:val="20"/>
        </w:rPr>
        <w:t xml:space="preserve">which is 4dB less than ACLR of BS type 2-O. </w:t>
      </w:r>
      <w:r w:rsidR="003678B8">
        <w:rPr>
          <w:sz w:val="20"/>
          <w:szCs w:val="20"/>
        </w:rPr>
        <w:t xml:space="preserve">Consequently in TX side </w:t>
      </w:r>
      <w:r w:rsidR="003678B8">
        <w:rPr>
          <w:lang w:val="en-GB"/>
        </w:rPr>
        <w:t>ACLR will have limitation</w:t>
      </w:r>
      <w:r w:rsidR="00E073DD">
        <w:rPr>
          <w:lang w:val="en-GB"/>
        </w:rPr>
        <w:t xml:space="preserve"> (24-45dB leakage ratio</w:t>
      </w:r>
      <w:r w:rsidR="007F5EAE">
        <w:rPr>
          <w:lang w:val="en-GB"/>
        </w:rPr>
        <w:t xml:space="preserve"> depending on frequency range</w:t>
      </w:r>
      <w:r w:rsidR="00E073DD">
        <w:rPr>
          <w:lang w:val="en-GB"/>
        </w:rPr>
        <w:t>)</w:t>
      </w:r>
      <w:r w:rsidR="003678B8">
        <w:rPr>
          <w:lang w:val="en-GB"/>
        </w:rPr>
        <w:t xml:space="preserve"> on emission to adjacent </w:t>
      </w:r>
      <w:r w:rsidR="00956879">
        <w:rPr>
          <w:lang w:val="en-GB"/>
        </w:rPr>
        <w:t>channel</w:t>
      </w:r>
      <w:r w:rsidR="003678B8" w:rsidRPr="00C3052B">
        <w:rPr>
          <w:sz w:val="20"/>
          <w:szCs w:val="20"/>
        </w:rPr>
        <w:t>.</w:t>
      </w:r>
      <w:r w:rsidR="003678B8">
        <w:rPr>
          <w:sz w:val="20"/>
          <w:szCs w:val="20"/>
        </w:rPr>
        <w:t xml:space="preserve"> </w:t>
      </w:r>
      <w:r w:rsidR="00A95C06">
        <w:rPr>
          <w:sz w:val="20"/>
          <w:szCs w:val="20"/>
        </w:rPr>
        <w:t>But for lo-coaction case shard the antenna array, that may be optimistic assum</w:t>
      </w:r>
      <w:r w:rsidR="00A95C06" w:rsidRPr="004B12DC">
        <w:rPr>
          <w:sz w:val="20"/>
          <w:szCs w:val="20"/>
        </w:rPr>
        <w:t xml:space="preserve">ption which can’t be applied directly. </w:t>
      </w:r>
      <w:r w:rsidR="00C3052B" w:rsidRPr="004B12DC">
        <w:rPr>
          <w:sz w:val="20"/>
          <w:szCs w:val="20"/>
        </w:rPr>
        <w:t>And in the context of RX power imbalance, there is ACS requirement which can be recognized as worst case condition with 23dB imbalance for MMW and 46dB for FR1</w:t>
      </w:r>
      <w:r w:rsidR="004B12DC" w:rsidRPr="004B12DC">
        <w:rPr>
          <w:sz w:val="20"/>
          <w:szCs w:val="20"/>
        </w:rPr>
        <w:t xml:space="preserve"> with interference with higher power level on adjacent channel. For IAB-DU, same to gNB, in-channel selectivity is defined to </w:t>
      </w:r>
      <w:r w:rsidR="004B12DC" w:rsidRPr="004B12DC">
        <w:rPr>
          <w:rFonts w:cs="v5.0.0"/>
          <w:sz w:val="20"/>
          <w:szCs w:val="20"/>
        </w:rPr>
        <w:t>a measure of the receiver ability to receive a wanted signal at its assigned resource block locations in the presence of an interfering signal received at a larger power spectral density.</w:t>
      </w:r>
      <w:r w:rsidR="00956879">
        <w:rPr>
          <w:rFonts w:cs="v5.0.0"/>
          <w:sz w:val="20"/>
          <w:szCs w:val="20"/>
        </w:rPr>
        <w:t xml:space="preserve"> </w:t>
      </w:r>
    </w:p>
    <w:p w14:paraId="6D9BF1BD" w14:textId="5B35D9DD" w:rsidR="004B12DC" w:rsidRDefault="00E073DD" w:rsidP="00BC36D0">
      <w:pPr>
        <w:rPr>
          <w:sz w:val="20"/>
          <w:szCs w:val="20"/>
          <w:lang w:val="en-GB"/>
        </w:rPr>
      </w:pPr>
      <w:r w:rsidRPr="00E073DD">
        <w:rPr>
          <w:b/>
          <w:sz w:val="20"/>
          <w:szCs w:val="20"/>
        </w:rPr>
        <w:t>Observation 6</w:t>
      </w:r>
      <w:r>
        <w:rPr>
          <w:b/>
          <w:sz w:val="20"/>
          <w:szCs w:val="20"/>
        </w:rPr>
        <w:t xml:space="preserve">: </w:t>
      </w:r>
      <w:r w:rsidR="004B12DC" w:rsidRPr="004B12DC">
        <w:rPr>
          <w:sz w:val="20"/>
          <w:szCs w:val="20"/>
          <w:lang w:val="en-GB"/>
        </w:rPr>
        <w:t>in</w:t>
      </w:r>
      <w:r w:rsidR="004B12DC">
        <w:rPr>
          <w:sz w:val="20"/>
          <w:szCs w:val="20"/>
          <w:lang w:val="en-GB"/>
        </w:rPr>
        <w:t xml:space="preserve"> Rel-16 IAB specification, the ACS requirement is verified the RX power imbalance case with the other signal on adjacent channel for both DU and MT.</w:t>
      </w:r>
    </w:p>
    <w:p w14:paraId="4202F8DD" w14:textId="45346166" w:rsidR="004B12DC" w:rsidRDefault="004B12DC" w:rsidP="004B12DC">
      <w:pPr>
        <w:rPr>
          <w:sz w:val="20"/>
          <w:szCs w:val="20"/>
          <w:lang w:val="en-GB"/>
        </w:rPr>
      </w:pPr>
      <w:r w:rsidRPr="00E073DD">
        <w:rPr>
          <w:b/>
          <w:sz w:val="20"/>
          <w:szCs w:val="20"/>
        </w:rPr>
        <w:t xml:space="preserve">Observation </w:t>
      </w:r>
      <w:r w:rsidR="00DB548D">
        <w:rPr>
          <w:b/>
          <w:sz w:val="20"/>
          <w:szCs w:val="20"/>
        </w:rPr>
        <w:t>7</w:t>
      </w:r>
      <w:r>
        <w:rPr>
          <w:b/>
          <w:sz w:val="20"/>
          <w:szCs w:val="20"/>
        </w:rPr>
        <w:t xml:space="preserve">: </w:t>
      </w:r>
      <w:r w:rsidRPr="004B12DC">
        <w:rPr>
          <w:sz w:val="20"/>
          <w:szCs w:val="20"/>
          <w:lang w:val="en-GB"/>
        </w:rPr>
        <w:t>in</w:t>
      </w:r>
      <w:r>
        <w:rPr>
          <w:sz w:val="20"/>
          <w:szCs w:val="20"/>
          <w:lang w:val="en-GB"/>
        </w:rPr>
        <w:t xml:space="preserve"> Rel-16 IAB specification, the ICS requirement is verified the RX power imbalance case with the other signal within the same channel for IAB-DU. </w:t>
      </w:r>
    </w:p>
    <w:p w14:paraId="05E925E3" w14:textId="1295C0D8" w:rsidR="00BC36D0" w:rsidRPr="004B12DC" w:rsidRDefault="00BC36D0" w:rsidP="00BC36D0">
      <w:pPr>
        <w:rPr>
          <w:b/>
          <w:sz w:val="20"/>
          <w:szCs w:val="20"/>
          <w:lang w:val="en-GB"/>
        </w:rPr>
      </w:pPr>
    </w:p>
    <w:p w14:paraId="6BE526E8" w14:textId="6F79040B" w:rsidR="00574163" w:rsidRDefault="00F37170" w:rsidP="00AD063B">
      <w:pPr>
        <w:rPr>
          <w:sz w:val="20"/>
          <w:szCs w:val="20"/>
          <w:lang w:val="en-GB"/>
        </w:rPr>
      </w:pPr>
      <w:r>
        <w:rPr>
          <w:sz w:val="20"/>
          <w:szCs w:val="20"/>
          <w:lang w:val="en-GB"/>
        </w:rPr>
        <w:t>It’s believed that t</w:t>
      </w:r>
      <w:r w:rsidR="00DB548D">
        <w:rPr>
          <w:sz w:val="20"/>
          <w:szCs w:val="20"/>
          <w:lang w:val="en-GB"/>
        </w:rPr>
        <w:t>he feasible performance of IAB node in the context of power imbalance in cases of</w:t>
      </w:r>
      <w:r w:rsidR="00AD063B" w:rsidRPr="003E6FA5">
        <w:rPr>
          <w:sz w:val="20"/>
          <w:szCs w:val="20"/>
          <w:lang w:val="en-GB"/>
        </w:rPr>
        <w:t xml:space="preserve"> simultaneous </w:t>
      </w:r>
      <w:r w:rsidR="00DB548D">
        <w:rPr>
          <w:sz w:val="20"/>
          <w:szCs w:val="20"/>
          <w:lang w:val="en-GB"/>
        </w:rPr>
        <w:t>MT TX/DU TX and MT RX/DU RX can be estimated to some extend based on legacy RF requirement. Then following question</w:t>
      </w:r>
      <w:r w:rsidR="00574163">
        <w:rPr>
          <w:sz w:val="20"/>
          <w:szCs w:val="20"/>
          <w:lang w:val="en-GB"/>
        </w:rPr>
        <w:t>s</w:t>
      </w:r>
      <w:r w:rsidR="00DB548D">
        <w:rPr>
          <w:sz w:val="20"/>
          <w:szCs w:val="20"/>
          <w:lang w:val="en-GB"/>
        </w:rPr>
        <w:t xml:space="preserve"> should be considered is that whether current RF requirement can be applied to enable Rel-17 target scenario with minor update</w:t>
      </w:r>
      <w:r w:rsidR="00574163">
        <w:rPr>
          <w:sz w:val="20"/>
          <w:szCs w:val="20"/>
          <w:lang w:val="en-GB"/>
        </w:rPr>
        <w:t>, i.e,</w:t>
      </w:r>
      <w:r w:rsidR="00DB548D">
        <w:rPr>
          <w:sz w:val="20"/>
          <w:szCs w:val="20"/>
          <w:lang w:val="en-GB"/>
        </w:rPr>
        <w:t xml:space="preserve">  </w:t>
      </w:r>
    </w:p>
    <w:p w14:paraId="49632818" w14:textId="7B93A932" w:rsidR="00574163" w:rsidRDefault="00574163" w:rsidP="00AD063B">
      <w:pPr>
        <w:rPr>
          <w:sz w:val="20"/>
          <w:szCs w:val="20"/>
          <w:lang w:val="en-GB"/>
        </w:rPr>
      </w:pPr>
      <w:r>
        <w:rPr>
          <w:sz w:val="20"/>
          <w:szCs w:val="20"/>
          <w:lang w:val="en-GB"/>
        </w:rPr>
        <w:t xml:space="preserve"> Q1:</w:t>
      </w:r>
      <w:r w:rsidR="00081BFA">
        <w:rPr>
          <w:sz w:val="20"/>
          <w:szCs w:val="20"/>
          <w:lang w:val="en-GB"/>
        </w:rPr>
        <w:t xml:space="preserve"> Whether</w:t>
      </w:r>
      <w:r>
        <w:rPr>
          <w:sz w:val="20"/>
          <w:szCs w:val="20"/>
          <w:lang w:val="en-GB"/>
        </w:rPr>
        <w:t xml:space="preserve"> TX power imbalance of 5-10dB </w:t>
      </w:r>
      <w:r w:rsidR="00081BFA">
        <w:rPr>
          <w:sz w:val="20"/>
          <w:szCs w:val="20"/>
          <w:lang w:val="en-GB"/>
        </w:rPr>
        <w:t xml:space="preserve">can </w:t>
      </w:r>
      <w:r>
        <w:rPr>
          <w:sz w:val="20"/>
          <w:szCs w:val="20"/>
          <w:lang w:val="en-GB"/>
        </w:rPr>
        <w:t>be considered as condition to verify the IAB-node</w:t>
      </w:r>
      <w:r w:rsidR="001B562C">
        <w:rPr>
          <w:sz w:val="20"/>
          <w:szCs w:val="20"/>
          <w:lang w:val="en-GB"/>
        </w:rPr>
        <w:t xml:space="preserve"> behaviour</w:t>
      </w:r>
      <w:r>
        <w:rPr>
          <w:sz w:val="20"/>
          <w:szCs w:val="20"/>
          <w:lang w:val="en-GB"/>
        </w:rPr>
        <w:t xml:space="preserve"> in simultaneous transmission?</w:t>
      </w:r>
    </w:p>
    <w:p w14:paraId="52218BCC" w14:textId="28B8746D" w:rsidR="00574163" w:rsidRDefault="00574163" w:rsidP="00AD063B">
      <w:pPr>
        <w:rPr>
          <w:sz w:val="20"/>
          <w:szCs w:val="20"/>
          <w:lang w:val="en-GB"/>
        </w:rPr>
      </w:pPr>
      <w:r>
        <w:rPr>
          <w:sz w:val="20"/>
          <w:szCs w:val="20"/>
          <w:lang w:val="en-GB"/>
        </w:rPr>
        <w:t xml:space="preserve"> Q2:</w:t>
      </w:r>
      <w:r w:rsidR="00081BFA">
        <w:rPr>
          <w:sz w:val="20"/>
          <w:szCs w:val="20"/>
          <w:lang w:val="en-GB"/>
        </w:rPr>
        <w:t xml:space="preserve"> Whether RX power imbalance in order of ACS level can be considered as condition to verify the IAB-node</w:t>
      </w:r>
      <w:r w:rsidR="001B562C">
        <w:rPr>
          <w:sz w:val="20"/>
          <w:szCs w:val="20"/>
          <w:lang w:val="en-GB"/>
        </w:rPr>
        <w:t xml:space="preserve"> behaviour</w:t>
      </w:r>
      <w:r w:rsidR="00081BFA">
        <w:rPr>
          <w:sz w:val="20"/>
          <w:szCs w:val="20"/>
          <w:lang w:val="en-GB"/>
        </w:rPr>
        <w:t xml:space="preserve"> in simultaneous reception?</w:t>
      </w:r>
    </w:p>
    <w:p w14:paraId="7E4CA0E9" w14:textId="287CDEE4" w:rsidR="00AD063B" w:rsidRPr="003E6FA5" w:rsidRDefault="00574163" w:rsidP="00AD063B">
      <w:pPr>
        <w:rPr>
          <w:sz w:val="20"/>
          <w:szCs w:val="20"/>
          <w:lang w:val="en-GB"/>
        </w:rPr>
      </w:pPr>
      <w:r>
        <w:rPr>
          <w:sz w:val="20"/>
          <w:szCs w:val="20"/>
          <w:lang w:val="en-GB"/>
        </w:rPr>
        <w:t xml:space="preserve"> Q3:</w:t>
      </w:r>
      <w:r w:rsidR="00DB548D">
        <w:rPr>
          <w:sz w:val="20"/>
          <w:szCs w:val="20"/>
          <w:lang w:val="en-GB"/>
        </w:rPr>
        <w:t xml:space="preserve"> </w:t>
      </w:r>
      <w:r w:rsidR="00081BFA">
        <w:rPr>
          <w:sz w:val="20"/>
          <w:szCs w:val="20"/>
          <w:lang w:val="en-GB"/>
        </w:rPr>
        <w:t xml:space="preserve">Whether in-channel case to be considered in power imbalance. </w:t>
      </w:r>
    </w:p>
    <w:p w14:paraId="7B6F16A9" w14:textId="7D6AAF15" w:rsidR="00472B91" w:rsidRPr="0095519B" w:rsidRDefault="00472B91" w:rsidP="00472B91">
      <w:pPr>
        <w:rPr>
          <w:sz w:val="20"/>
          <w:szCs w:val="20"/>
          <w:lang w:val="en-GB"/>
        </w:rPr>
      </w:pPr>
      <w:r w:rsidRPr="0095519B">
        <w:rPr>
          <w:rFonts w:hint="eastAsia"/>
          <w:b/>
          <w:sz w:val="20"/>
          <w:szCs w:val="20"/>
          <w:lang w:val="en-GB"/>
        </w:rPr>
        <w:t>P</w:t>
      </w:r>
      <w:r w:rsidRPr="0095519B">
        <w:rPr>
          <w:b/>
          <w:sz w:val="20"/>
          <w:szCs w:val="20"/>
          <w:lang w:val="en-GB"/>
        </w:rPr>
        <w:t>roposal 2</w:t>
      </w:r>
      <w:r w:rsidRPr="0095519B">
        <w:rPr>
          <w:sz w:val="20"/>
          <w:szCs w:val="20"/>
          <w:lang w:val="en-GB"/>
        </w:rPr>
        <w:t xml:space="preserve">: It's suggested to decide whether existing power dynamic range and ACS requirement can be applied as starting point to </w:t>
      </w:r>
      <w:r>
        <w:rPr>
          <w:sz w:val="20"/>
          <w:szCs w:val="20"/>
          <w:lang w:val="en-GB"/>
        </w:rPr>
        <w:t xml:space="preserve">be modified for purpose to </w:t>
      </w:r>
      <w:r w:rsidRPr="0095519B">
        <w:rPr>
          <w:sz w:val="20"/>
          <w:szCs w:val="20"/>
          <w:lang w:val="en-GB"/>
        </w:rPr>
        <w:t xml:space="preserve">verify IAB-node </w:t>
      </w:r>
      <w:r w:rsidR="00956879">
        <w:rPr>
          <w:sz w:val="20"/>
          <w:szCs w:val="20"/>
          <w:lang w:val="en-GB"/>
        </w:rPr>
        <w:t>behaviour for</w:t>
      </w:r>
      <w:bookmarkStart w:id="0" w:name="_GoBack"/>
      <w:r w:rsidR="00956879">
        <w:rPr>
          <w:sz w:val="20"/>
          <w:szCs w:val="20"/>
          <w:lang w:val="en-GB"/>
        </w:rPr>
        <w:t xml:space="preserve"> </w:t>
      </w:r>
      <w:bookmarkEnd w:id="0"/>
      <w:r w:rsidRPr="0095519B">
        <w:rPr>
          <w:sz w:val="20"/>
          <w:szCs w:val="20"/>
          <w:lang w:val="en-GB"/>
        </w:rPr>
        <w:t xml:space="preserve">simultaneous transmission </w:t>
      </w:r>
      <w:r w:rsidR="00956879">
        <w:rPr>
          <w:sz w:val="20"/>
          <w:szCs w:val="20"/>
          <w:lang w:val="en-GB"/>
        </w:rPr>
        <w:t>and simultaneous</w:t>
      </w:r>
      <w:r w:rsidRPr="0095519B">
        <w:rPr>
          <w:sz w:val="20"/>
          <w:szCs w:val="20"/>
          <w:lang w:val="en-GB"/>
        </w:rPr>
        <w:t xml:space="preserve"> reception.   </w:t>
      </w:r>
    </w:p>
    <w:p w14:paraId="4B5CBA1E" w14:textId="63DFEDD9" w:rsidR="00781F52" w:rsidRDefault="00781F52" w:rsidP="00781F52">
      <w:pPr>
        <w:pStyle w:val="1"/>
        <w:rPr>
          <w:rFonts w:cs="Arial"/>
          <w:lang w:eastAsia="zh-CN"/>
        </w:rPr>
      </w:pPr>
      <w:r>
        <w:rPr>
          <w:rFonts w:cs="Arial"/>
          <w:lang w:eastAsia="zh-CN"/>
        </w:rPr>
        <w:t xml:space="preserve">Conclusion   </w:t>
      </w:r>
    </w:p>
    <w:p w14:paraId="0F717737" w14:textId="27444D78" w:rsidR="00727A32" w:rsidRPr="00727A32" w:rsidRDefault="00727A32" w:rsidP="0095519B">
      <w:pPr>
        <w:rPr>
          <w:sz w:val="20"/>
          <w:szCs w:val="20"/>
        </w:rPr>
      </w:pPr>
      <w:r w:rsidRPr="00727A32">
        <w:rPr>
          <w:sz w:val="20"/>
          <w:szCs w:val="20"/>
        </w:rPr>
        <w:t xml:space="preserve">In this contribution </w:t>
      </w:r>
      <w:r>
        <w:rPr>
          <w:sz w:val="20"/>
          <w:szCs w:val="20"/>
        </w:rPr>
        <w:t xml:space="preserve">we shared our understanding regarding to IAB node simultaneous operation by FDM mode. First of all, we suggest to narrow down the scope with below proposal: </w:t>
      </w:r>
    </w:p>
    <w:p w14:paraId="550C9917" w14:textId="77777777" w:rsidR="00727A32" w:rsidRDefault="00727A32" w:rsidP="00727A32">
      <w:pPr>
        <w:rPr>
          <w:sz w:val="20"/>
          <w:szCs w:val="20"/>
          <w:lang w:val="en-GB"/>
        </w:rPr>
      </w:pPr>
      <w:r w:rsidRPr="003E6FA5">
        <w:rPr>
          <w:b/>
          <w:sz w:val="20"/>
          <w:szCs w:val="20"/>
          <w:lang w:val="en-GB"/>
        </w:rPr>
        <w:t>Proposal 1</w:t>
      </w:r>
      <w:r>
        <w:rPr>
          <w:sz w:val="20"/>
          <w:szCs w:val="20"/>
          <w:lang w:val="en-GB"/>
        </w:rPr>
        <w:t>: it is suggested to exclude the</w:t>
      </w:r>
      <w:r w:rsidRPr="00B12B9A">
        <w:rPr>
          <w:sz w:val="20"/>
          <w:szCs w:val="20"/>
          <w:lang w:val="en-GB"/>
        </w:rPr>
        <w:t xml:space="preserve"> multiplexing scenario of simultaneous MT TX/DU RX and simultaneous MT RX/DU TX by shared antenna array solution</w:t>
      </w:r>
      <w:r>
        <w:rPr>
          <w:sz w:val="20"/>
          <w:szCs w:val="20"/>
          <w:lang w:val="en-GB"/>
        </w:rPr>
        <w:t xml:space="preserve"> under FDM mode. </w:t>
      </w:r>
    </w:p>
    <w:p w14:paraId="70ED2761" w14:textId="77777777" w:rsidR="00727A32" w:rsidRDefault="00727A32" w:rsidP="0095519B">
      <w:pPr>
        <w:rPr>
          <w:b/>
          <w:sz w:val="20"/>
          <w:szCs w:val="20"/>
          <w:lang w:val="en-GB"/>
        </w:rPr>
      </w:pPr>
    </w:p>
    <w:p w14:paraId="025CAA19" w14:textId="44C91B04" w:rsidR="00727A32" w:rsidRPr="00727A32" w:rsidRDefault="00727A32" w:rsidP="0095519B">
      <w:pPr>
        <w:rPr>
          <w:sz w:val="20"/>
          <w:szCs w:val="20"/>
          <w:lang w:val="en-GB"/>
        </w:rPr>
      </w:pPr>
      <w:r w:rsidRPr="00727A32">
        <w:rPr>
          <w:rFonts w:hint="eastAsia"/>
          <w:sz w:val="20"/>
          <w:szCs w:val="20"/>
          <w:lang w:val="en-GB"/>
        </w:rPr>
        <w:t>T</w:t>
      </w:r>
      <w:r w:rsidRPr="00727A32">
        <w:rPr>
          <w:sz w:val="20"/>
          <w:szCs w:val="20"/>
          <w:lang w:val="en-GB"/>
        </w:rPr>
        <w:t xml:space="preserve">hen </w:t>
      </w:r>
      <w:r>
        <w:rPr>
          <w:sz w:val="20"/>
          <w:szCs w:val="20"/>
          <w:lang w:val="en-GB"/>
        </w:rPr>
        <w:t>for timing difference due to IAB-MT TA we reviewed the RAN1 latest agreement with below observation 1:</w:t>
      </w:r>
    </w:p>
    <w:p w14:paraId="67EB5ED6" w14:textId="77777777" w:rsidR="0095519B" w:rsidRDefault="0095519B" w:rsidP="0095519B">
      <w:pPr>
        <w:rPr>
          <w:sz w:val="20"/>
          <w:szCs w:val="20"/>
        </w:rPr>
      </w:pPr>
      <w:r w:rsidRPr="003D38C1">
        <w:rPr>
          <w:b/>
          <w:sz w:val="20"/>
          <w:szCs w:val="20"/>
        </w:rPr>
        <w:t>Observation 1</w:t>
      </w:r>
      <w:r>
        <w:rPr>
          <w:sz w:val="20"/>
          <w:szCs w:val="20"/>
        </w:rPr>
        <w:t>: RAN1 discussion on guard symbols, which can be applied to resolve IAB-MT TA collision, is still open.</w:t>
      </w:r>
    </w:p>
    <w:p w14:paraId="63A08357" w14:textId="77777777" w:rsidR="00727A32" w:rsidRDefault="00727A32" w:rsidP="0095519B">
      <w:pPr>
        <w:rPr>
          <w:sz w:val="20"/>
          <w:szCs w:val="20"/>
        </w:rPr>
      </w:pPr>
    </w:p>
    <w:p w14:paraId="721E5399" w14:textId="3ADA4BF3" w:rsidR="00727A32" w:rsidRDefault="00727A32" w:rsidP="0095519B">
      <w:pPr>
        <w:rPr>
          <w:sz w:val="20"/>
          <w:szCs w:val="20"/>
        </w:rPr>
      </w:pPr>
      <w:r>
        <w:rPr>
          <w:sz w:val="20"/>
          <w:szCs w:val="20"/>
        </w:rPr>
        <w:t>Besides that, we also notice that guard band has been considered in RAN1 for FDM which may be transparent in RAN4.</w:t>
      </w:r>
    </w:p>
    <w:p w14:paraId="4BCD2F89" w14:textId="77777777" w:rsidR="0095519B" w:rsidRDefault="0095519B" w:rsidP="0095519B">
      <w:pPr>
        <w:rPr>
          <w:sz w:val="20"/>
          <w:szCs w:val="20"/>
        </w:rPr>
      </w:pPr>
      <w:r w:rsidRPr="00F06574">
        <w:rPr>
          <w:b/>
          <w:sz w:val="20"/>
          <w:szCs w:val="20"/>
        </w:rPr>
        <w:t>Observation 2</w:t>
      </w:r>
      <w:r>
        <w:rPr>
          <w:sz w:val="20"/>
          <w:szCs w:val="20"/>
        </w:rPr>
        <w:t>: guard band for FDM is under discussion in RAN1.</w:t>
      </w:r>
    </w:p>
    <w:p w14:paraId="19A57523" w14:textId="77777777" w:rsidR="0095519B" w:rsidRDefault="0095519B" w:rsidP="0095519B">
      <w:pPr>
        <w:rPr>
          <w:sz w:val="20"/>
          <w:szCs w:val="20"/>
        </w:rPr>
      </w:pPr>
      <w:r w:rsidRPr="00F06574">
        <w:rPr>
          <w:b/>
          <w:sz w:val="20"/>
          <w:szCs w:val="20"/>
        </w:rPr>
        <w:t>Observation 3</w:t>
      </w:r>
      <w:r>
        <w:rPr>
          <w:sz w:val="20"/>
          <w:szCs w:val="20"/>
        </w:rPr>
        <w:t xml:space="preserve">: usually except channel edge guard band no other guard band specified in RAN4. </w:t>
      </w:r>
    </w:p>
    <w:p w14:paraId="1FDB872F" w14:textId="77777777" w:rsidR="00727A32" w:rsidRDefault="00727A32" w:rsidP="0095519B">
      <w:pPr>
        <w:rPr>
          <w:sz w:val="20"/>
          <w:szCs w:val="20"/>
        </w:rPr>
      </w:pPr>
    </w:p>
    <w:p w14:paraId="43DDE31A" w14:textId="1DE4F6CD" w:rsidR="00727A32" w:rsidRPr="00B92F2E" w:rsidRDefault="00727A32" w:rsidP="0095519B">
      <w:pPr>
        <w:rPr>
          <w:sz w:val="20"/>
          <w:szCs w:val="20"/>
        </w:rPr>
      </w:pPr>
      <w:r>
        <w:rPr>
          <w:sz w:val="20"/>
          <w:szCs w:val="20"/>
        </w:rPr>
        <w:lastRenderedPageBreak/>
        <w:t>For power imbalance the RAN1 discussion on power control with solution of assistant information which can mitigate the issue. But we still provide a brief summary on status for related requirement based on Rel-16 IAB RF specification with below observations.</w:t>
      </w:r>
    </w:p>
    <w:p w14:paraId="30252C98" w14:textId="77777777" w:rsidR="0095519B" w:rsidRPr="00C16E57" w:rsidRDefault="0095519B" w:rsidP="0095519B">
      <w:pPr>
        <w:rPr>
          <w:rFonts w:ascii="Calibri" w:hAnsi="Calibri" w:cs="Calibri"/>
          <w:sz w:val="20"/>
          <w:szCs w:val="20"/>
        </w:rPr>
      </w:pPr>
      <w:r w:rsidRPr="00C16E57">
        <w:rPr>
          <w:rFonts w:ascii="Calibri" w:hAnsi="Calibri" w:cs="Calibri"/>
          <w:b/>
          <w:sz w:val="20"/>
          <w:szCs w:val="20"/>
        </w:rPr>
        <w:t>Observation 4</w:t>
      </w:r>
      <w:r w:rsidRPr="00C16E57">
        <w:rPr>
          <w:rFonts w:ascii="Calibri" w:hAnsi="Calibri" w:cs="Calibri"/>
          <w:sz w:val="20"/>
          <w:szCs w:val="20"/>
        </w:rPr>
        <w:t xml:space="preserve">: </w:t>
      </w:r>
      <w:r w:rsidRPr="00C16E57">
        <w:rPr>
          <w:rFonts w:ascii="Calibri" w:eastAsia="Calibri" w:hAnsi="Calibri" w:cs="Calibri"/>
          <w:sz w:val="20"/>
          <w:szCs w:val="20"/>
        </w:rPr>
        <w:t>There is discussion in RAN1 regarding power control</w:t>
      </w:r>
      <w:r>
        <w:rPr>
          <w:rFonts w:ascii="Calibri" w:eastAsia="Calibri" w:hAnsi="Calibri" w:cs="Calibri"/>
          <w:sz w:val="20"/>
          <w:szCs w:val="20"/>
        </w:rPr>
        <w:t xml:space="preserve"> should be applicable to mitigate power imbalance issue. </w:t>
      </w:r>
    </w:p>
    <w:p w14:paraId="523929A4" w14:textId="77777777" w:rsidR="0095519B" w:rsidRPr="00E073DD" w:rsidRDefault="0095519B" w:rsidP="0095519B">
      <w:pPr>
        <w:rPr>
          <w:sz w:val="20"/>
          <w:szCs w:val="20"/>
          <w:lang w:val="en-GB"/>
        </w:rPr>
      </w:pPr>
      <w:r w:rsidRPr="00C3052B">
        <w:rPr>
          <w:b/>
          <w:sz w:val="20"/>
          <w:szCs w:val="20"/>
        </w:rPr>
        <w:t>Observation 5</w:t>
      </w:r>
      <w:r>
        <w:rPr>
          <w:sz w:val="20"/>
          <w:szCs w:val="20"/>
        </w:rPr>
        <w:t xml:space="preserve">: </w:t>
      </w:r>
      <w:r w:rsidRPr="003E6FA5">
        <w:rPr>
          <w:sz w:val="20"/>
          <w:szCs w:val="20"/>
          <w:lang w:val="en-GB"/>
        </w:rPr>
        <w:t>For</w:t>
      </w:r>
      <w:r>
        <w:rPr>
          <w:sz w:val="20"/>
          <w:szCs w:val="20"/>
          <w:lang w:val="en-GB"/>
        </w:rPr>
        <w:t xml:space="preserve"> Rel-16</w:t>
      </w:r>
      <w:r w:rsidRPr="003E6FA5">
        <w:rPr>
          <w:sz w:val="20"/>
          <w:szCs w:val="20"/>
          <w:lang w:val="en-GB"/>
        </w:rPr>
        <w:t xml:space="preserve"> IAB </w:t>
      </w:r>
      <w:r>
        <w:rPr>
          <w:sz w:val="20"/>
          <w:szCs w:val="20"/>
          <w:lang w:val="en-GB"/>
        </w:rPr>
        <w:t xml:space="preserve">TX </w:t>
      </w:r>
      <w:r w:rsidRPr="003E6FA5">
        <w:rPr>
          <w:sz w:val="20"/>
          <w:szCs w:val="20"/>
          <w:lang w:val="en-GB"/>
        </w:rPr>
        <w:t>dynamic range</w:t>
      </w:r>
      <w:r>
        <w:rPr>
          <w:sz w:val="20"/>
          <w:szCs w:val="20"/>
          <w:lang w:val="en-GB"/>
        </w:rPr>
        <w:t xml:space="preserve"> for both MT and DU</w:t>
      </w:r>
      <w:r w:rsidRPr="003E6FA5">
        <w:rPr>
          <w:sz w:val="20"/>
          <w:szCs w:val="20"/>
          <w:lang w:val="en-GB"/>
        </w:rPr>
        <w:t xml:space="preserve"> defined.</w:t>
      </w:r>
    </w:p>
    <w:p w14:paraId="5AEC9CAA" w14:textId="77777777" w:rsidR="0095519B" w:rsidRDefault="0095519B" w:rsidP="0095519B">
      <w:pPr>
        <w:rPr>
          <w:sz w:val="20"/>
          <w:szCs w:val="20"/>
          <w:lang w:val="en-GB"/>
        </w:rPr>
      </w:pPr>
      <w:r w:rsidRPr="00E073DD">
        <w:rPr>
          <w:b/>
          <w:sz w:val="20"/>
          <w:szCs w:val="20"/>
        </w:rPr>
        <w:t>Observation 6</w:t>
      </w:r>
      <w:r>
        <w:rPr>
          <w:b/>
          <w:sz w:val="20"/>
          <w:szCs w:val="20"/>
        </w:rPr>
        <w:t xml:space="preserve">: </w:t>
      </w:r>
      <w:r w:rsidRPr="004B12DC">
        <w:rPr>
          <w:sz w:val="20"/>
          <w:szCs w:val="20"/>
          <w:lang w:val="en-GB"/>
        </w:rPr>
        <w:t>in</w:t>
      </w:r>
      <w:r>
        <w:rPr>
          <w:sz w:val="20"/>
          <w:szCs w:val="20"/>
          <w:lang w:val="en-GB"/>
        </w:rPr>
        <w:t xml:space="preserve"> Rel-16 IAB specification, the ACS requirement is verified the RX power imbalance case with the other signal on adjacent channel for both DU and MT.</w:t>
      </w:r>
    </w:p>
    <w:p w14:paraId="4243031E" w14:textId="05896A63" w:rsidR="0095519B" w:rsidRDefault="0095519B" w:rsidP="0095519B">
      <w:pPr>
        <w:rPr>
          <w:sz w:val="20"/>
          <w:szCs w:val="20"/>
          <w:lang w:val="en-GB"/>
        </w:rPr>
      </w:pPr>
      <w:r w:rsidRPr="00E073DD">
        <w:rPr>
          <w:b/>
          <w:sz w:val="20"/>
          <w:szCs w:val="20"/>
        </w:rPr>
        <w:t xml:space="preserve">Observation </w:t>
      </w:r>
      <w:r>
        <w:rPr>
          <w:b/>
          <w:sz w:val="20"/>
          <w:szCs w:val="20"/>
        </w:rPr>
        <w:t xml:space="preserve">7: </w:t>
      </w:r>
      <w:r w:rsidRPr="004B12DC">
        <w:rPr>
          <w:sz w:val="20"/>
          <w:szCs w:val="20"/>
          <w:lang w:val="en-GB"/>
        </w:rPr>
        <w:t>in</w:t>
      </w:r>
      <w:r>
        <w:rPr>
          <w:sz w:val="20"/>
          <w:szCs w:val="20"/>
          <w:lang w:val="en-GB"/>
        </w:rPr>
        <w:t xml:space="preserve"> Rel-16 IAB specification, the ICS requirement is verified the RX power imbalance case with the other signal within the same channel for IAB-DU. </w:t>
      </w:r>
    </w:p>
    <w:p w14:paraId="289DDE0F" w14:textId="50DF2E54" w:rsidR="00781F52" w:rsidRDefault="00781F52" w:rsidP="00F011DD">
      <w:pPr>
        <w:rPr>
          <w:lang w:val="en-GB"/>
        </w:rPr>
      </w:pPr>
    </w:p>
    <w:p w14:paraId="73DCCCCB" w14:textId="62C5B47D" w:rsidR="00727A32" w:rsidRPr="00727A32" w:rsidRDefault="00727A32" w:rsidP="00F011DD">
      <w:pPr>
        <w:rPr>
          <w:sz w:val="20"/>
          <w:szCs w:val="20"/>
          <w:lang w:val="en-GB"/>
        </w:rPr>
      </w:pPr>
      <w:r w:rsidRPr="00727A32">
        <w:rPr>
          <w:rFonts w:hint="eastAsia"/>
          <w:sz w:val="20"/>
          <w:szCs w:val="20"/>
          <w:lang w:val="en-GB"/>
        </w:rPr>
        <w:t>B</w:t>
      </w:r>
      <w:r w:rsidRPr="00727A32">
        <w:rPr>
          <w:sz w:val="20"/>
          <w:szCs w:val="20"/>
          <w:lang w:val="en-GB"/>
        </w:rPr>
        <w:t>ased on above discussion we present our suggestion for further study</w:t>
      </w:r>
      <w:r>
        <w:rPr>
          <w:sz w:val="20"/>
          <w:szCs w:val="20"/>
          <w:lang w:val="en-GB"/>
        </w:rPr>
        <w:t xml:space="preserve"> as proposal 2</w:t>
      </w:r>
      <w:r w:rsidRPr="00727A32">
        <w:rPr>
          <w:sz w:val="20"/>
          <w:szCs w:val="20"/>
          <w:lang w:val="en-GB"/>
        </w:rPr>
        <w:t xml:space="preserve">. </w:t>
      </w:r>
      <w:r>
        <w:rPr>
          <w:sz w:val="20"/>
          <w:szCs w:val="20"/>
          <w:lang w:val="en-GB"/>
        </w:rPr>
        <w:t xml:space="preserve">However, it’s not precluded other reasonable suggestion if raised during discussion. </w:t>
      </w:r>
    </w:p>
    <w:p w14:paraId="55FEA4C4" w14:textId="77777777" w:rsidR="00956879" w:rsidRPr="0095519B" w:rsidRDefault="00956879" w:rsidP="00956879">
      <w:pPr>
        <w:rPr>
          <w:sz w:val="20"/>
          <w:szCs w:val="20"/>
          <w:lang w:val="en-GB"/>
        </w:rPr>
      </w:pPr>
      <w:r w:rsidRPr="0095519B">
        <w:rPr>
          <w:rFonts w:hint="eastAsia"/>
          <w:b/>
          <w:sz w:val="20"/>
          <w:szCs w:val="20"/>
          <w:lang w:val="en-GB"/>
        </w:rPr>
        <w:t>P</w:t>
      </w:r>
      <w:r w:rsidRPr="0095519B">
        <w:rPr>
          <w:b/>
          <w:sz w:val="20"/>
          <w:szCs w:val="20"/>
          <w:lang w:val="en-GB"/>
        </w:rPr>
        <w:t>roposal 2</w:t>
      </w:r>
      <w:r w:rsidRPr="0095519B">
        <w:rPr>
          <w:sz w:val="20"/>
          <w:szCs w:val="20"/>
          <w:lang w:val="en-GB"/>
        </w:rPr>
        <w:t xml:space="preserve">: It's suggested to decide whether existing power dynamic range and ACS requirement can be applied as starting point to </w:t>
      </w:r>
      <w:r>
        <w:rPr>
          <w:sz w:val="20"/>
          <w:szCs w:val="20"/>
          <w:lang w:val="en-GB"/>
        </w:rPr>
        <w:t xml:space="preserve">be modified for purpose to </w:t>
      </w:r>
      <w:r w:rsidRPr="0095519B">
        <w:rPr>
          <w:sz w:val="20"/>
          <w:szCs w:val="20"/>
          <w:lang w:val="en-GB"/>
        </w:rPr>
        <w:t xml:space="preserve">verify IAB-node </w:t>
      </w:r>
      <w:r>
        <w:rPr>
          <w:sz w:val="20"/>
          <w:szCs w:val="20"/>
          <w:lang w:val="en-GB"/>
        </w:rPr>
        <w:t xml:space="preserve">behaviour for </w:t>
      </w:r>
      <w:r w:rsidRPr="0095519B">
        <w:rPr>
          <w:sz w:val="20"/>
          <w:szCs w:val="20"/>
          <w:lang w:val="en-GB"/>
        </w:rPr>
        <w:t xml:space="preserve">simultaneous transmission </w:t>
      </w:r>
      <w:r>
        <w:rPr>
          <w:sz w:val="20"/>
          <w:szCs w:val="20"/>
          <w:lang w:val="en-GB"/>
        </w:rPr>
        <w:t>and simultaneous</w:t>
      </w:r>
      <w:r w:rsidRPr="0095519B">
        <w:rPr>
          <w:sz w:val="20"/>
          <w:szCs w:val="20"/>
          <w:lang w:val="en-GB"/>
        </w:rPr>
        <w:t xml:space="preserve"> reception.   </w:t>
      </w:r>
    </w:p>
    <w:p w14:paraId="55835787" w14:textId="5CE56084" w:rsidR="00552F9D" w:rsidRPr="00956879" w:rsidRDefault="00552F9D" w:rsidP="006C61CE">
      <w:pPr>
        <w:rPr>
          <w:rFonts w:ascii="Calibri" w:hAnsi="Calibri" w:cs="Calibri"/>
          <w:iCs/>
          <w:szCs w:val="21"/>
          <w:lang w:val="en-GB"/>
        </w:rPr>
      </w:pP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6DDE1BCD" w14:textId="17B80B9E" w:rsidR="007B41E7" w:rsidRDefault="005F1418" w:rsidP="007B41E7">
      <w:pPr>
        <w:rPr>
          <w:szCs w:val="21"/>
        </w:rPr>
      </w:pPr>
      <w:r>
        <w:rPr>
          <w:rFonts w:ascii="Calibri" w:hAnsi="Calibri" w:cs="Calibri"/>
          <w:iCs/>
          <w:szCs w:val="21"/>
        </w:rPr>
        <w:t>[1]</w:t>
      </w:r>
      <w:r w:rsidR="00A70B6C">
        <w:rPr>
          <w:szCs w:val="21"/>
        </w:rPr>
        <w:t xml:space="preserve"> </w:t>
      </w:r>
      <w:r w:rsidR="005C14D7" w:rsidRPr="005606CF">
        <w:rPr>
          <w:rFonts w:eastAsia="宋体" w:cstheme="minorHAnsi"/>
          <w:sz w:val="20"/>
          <w:szCs w:val="20"/>
          <w:lang w:eastAsia="ja-JP"/>
        </w:rPr>
        <w:t>R4-2108640</w:t>
      </w:r>
      <w:r w:rsidR="005C14D7" w:rsidRPr="005C14D7">
        <w:rPr>
          <w:rFonts w:eastAsia="宋体" w:cstheme="minorHAnsi"/>
          <w:sz w:val="20"/>
          <w:szCs w:val="20"/>
          <w:lang w:eastAsia="ja-JP"/>
        </w:rPr>
        <w:t xml:space="preserve"> </w:t>
      </w:r>
      <w:r w:rsidR="005C14D7">
        <w:rPr>
          <w:rFonts w:eastAsia="宋体" w:cstheme="minorHAnsi"/>
          <w:sz w:val="20"/>
          <w:szCs w:val="20"/>
          <w:lang w:eastAsia="ja-JP"/>
        </w:rPr>
        <w:t>，</w:t>
      </w:r>
      <w:r w:rsidR="005C14D7" w:rsidRPr="005606CF">
        <w:rPr>
          <w:rFonts w:eastAsia="宋体" w:cstheme="minorHAnsi"/>
          <w:sz w:val="20"/>
          <w:szCs w:val="20"/>
          <w:lang w:eastAsia="ja-JP"/>
        </w:rPr>
        <w:t>WF on simultaneous operating and timing case#6/7 for enhanced IAB</w:t>
      </w:r>
    </w:p>
    <w:p w14:paraId="4CBB0A09" w14:textId="4B493E06" w:rsidR="006C40E6" w:rsidRPr="006C40E6" w:rsidRDefault="006C40E6" w:rsidP="00EA6189">
      <w:pPr>
        <w:rPr>
          <w:szCs w:val="21"/>
        </w:rPr>
      </w:pPr>
    </w:p>
    <w:sectPr w:rsidR="006C40E6" w:rsidRPr="006C40E6"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505DC" w14:textId="77777777" w:rsidR="00930D15" w:rsidRDefault="00930D15" w:rsidP="006C170D">
      <w:r>
        <w:separator/>
      </w:r>
    </w:p>
  </w:endnote>
  <w:endnote w:type="continuationSeparator" w:id="0">
    <w:p w14:paraId="220A6C46" w14:textId="77777777" w:rsidR="00930D15" w:rsidRDefault="00930D15"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1572C" w14:textId="77777777" w:rsidR="00930D15" w:rsidRDefault="00930D15" w:rsidP="006C170D">
      <w:r>
        <w:separator/>
      </w:r>
    </w:p>
  </w:footnote>
  <w:footnote w:type="continuationSeparator" w:id="0">
    <w:p w14:paraId="5E3AFDFC" w14:textId="77777777" w:rsidR="00930D15" w:rsidRDefault="00930D15"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245F7"/>
    <w:multiLevelType w:val="hybridMultilevel"/>
    <w:tmpl w:val="9D7E5A1A"/>
    <w:lvl w:ilvl="0" w:tplc="FD460902">
      <w:start w:val="3"/>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9"/>
  </w:num>
  <w:num w:numId="4">
    <w:abstractNumId w:val="4"/>
  </w:num>
  <w:num w:numId="5">
    <w:abstractNumId w:val="5"/>
  </w:num>
  <w:num w:numId="6">
    <w:abstractNumId w:val="8"/>
  </w:num>
  <w:num w:numId="7">
    <w:abstractNumId w:val="7"/>
  </w:num>
  <w:num w:numId="8">
    <w:abstractNumId w:val="3"/>
  </w:num>
  <w:num w:numId="9">
    <w:abstractNumId w:val="1"/>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BC7"/>
    <w:rsid w:val="00013FDE"/>
    <w:rsid w:val="00020FDD"/>
    <w:rsid w:val="000226EE"/>
    <w:rsid w:val="00022E69"/>
    <w:rsid w:val="000244E9"/>
    <w:rsid w:val="00026A0C"/>
    <w:rsid w:val="00031126"/>
    <w:rsid w:val="00031BE6"/>
    <w:rsid w:val="000374FB"/>
    <w:rsid w:val="00056B30"/>
    <w:rsid w:val="000639A9"/>
    <w:rsid w:val="00064492"/>
    <w:rsid w:val="000716AF"/>
    <w:rsid w:val="000740B8"/>
    <w:rsid w:val="00075039"/>
    <w:rsid w:val="00081BFA"/>
    <w:rsid w:val="000A17BF"/>
    <w:rsid w:val="000B062C"/>
    <w:rsid w:val="000B59F8"/>
    <w:rsid w:val="000B7FE5"/>
    <w:rsid w:val="000C59E1"/>
    <w:rsid w:val="000D5600"/>
    <w:rsid w:val="000E1986"/>
    <w:rsid w:val="000E71C0"/>
    <w:rsid w:val="000F4059"/>
    <w:rsid w:val="0010013A"/>
    <w:rsid w:val="00124E9A"/>
    <w:rsid w:val="00144530"/>
    <w:rsid w:val="00156FC2"/>
    <w:rsid w:val="0016269A"/>
    <w:rsid w:val="00162A85"/>
    <w:rsid w:val="00175ABF"/>
    <w:rsid w:val="00191EED"/>
    <w:rsid w:val="001931EF"/>
    <w:rsid w:val="001B562C"/>
    <w:rsid w:val="001C2F89"/>
    <w:rsid w:val="001C3269"/>
    <w:rsid w:val="001C7D79"/>
    <w:rsid w:val="001E0D2E"/>
    <w:rsid w:val="001E22FB"/>
    <w:rsid w:val="001E2FF0"/>
    <w:rsid w:val="001E6AC5"/>
    <w:rsid w:val="001F08C9"/>
    <w:rsid w:val="001F2FD2"/>
    <w:rsid w:val="001F58DE"/>
    <w:rsid w:val="001F595B"/>
    <w:rsid w:val="002044AE"/>
    <w:rsid w:val="002230D3"/>
    <w:rsid w:val="0023035B"/>
    <w:rsid w:val="00245DF1"/>
    <w:rsid w:val="00250687"/>
    <w:rsid w:val="0025315D"/>
    <w:rsid w:val="00276C66"/>
    <w:rsid w:val="002C243D"/>
    <w:rsid w:val="002C40CC"/>
    <w:rsid w:val="002D0FEA"/>
    <w:rsid w:val="002D7F8B"/>
    <w:rsid w:val="002E1038"/>
    <w:rsid w:val="002E210A"/>
    <w:rsid w:val="002F0E43"/>
    <w:rsid w:val="002F4DE9"/>
    <w:rsid w:val="00333C86"/>
    <w:rsid w:val="00340E10"/>
    <w:rsid w:val="003455CD"/>
    <w:rsid w:val="0035218B"/>
    <w:rsid w:val="00353186"/>
    <w:rsid w:val="003678B8"/>
    <w:rsid w:val="003704DB"/>
    <w:rsid w:val="0037789C"/>
    <w:rsid w:val="00380AD4"/>
    <w:rsid w:val="0038791C"/>
    <w:rsid w:val="003928ED"/>
    <w:rsid w:val="003D197B"/>
    <w:rsid w:val="003D38C1"/>
    <w:rsid w:val="003D3A8B"/>
    <w:rsid w:val="003D4B96"/>
    <w:rsid w:val="003D5584"/>
    <w:rsid w:val="003E6FA5"/>
    <w:rsid w:val="003F3FD9"/>
    <w:rsid w:val="00403AFC"/>
    <w:rsid w:val="00427987"/>
    <w:rsid w:val="00460858"/>
    <w:rsid w:val="0046481D"/>
    <w:rsid w:val="004648DA"/>
    <w:rsid w:val="00467CB6"/>
    <w:rsid w:val="004713B8"/>
    <w:rsid w:val="00471B56"/>
    <w:rsid w:val="00472B91"/>
    <w:rsid w:val="00473B89"/>
    <w:rsid w:val="004A4F80"/>
    <w:rsid w:val="004B12DC"/>
    <w:rsid w:val="004B40D6"/>
    <w:rsid w:val="004C4B12"/>
    <w:rsid w:val="004D6748"/>
    <w:rsid w:val="004E338D"/>
    <w:rsid w:val="004E4598"/>
    <w:rsid w:val="004F16CC"/>
    <w:rsid w:val="00502A45"/>
    <w:rsid w:val="0050306C"/>
    <w:rsid w:val="00516406"/>
    <w:rsid w:val="00524487"/>
    <w:rsid w:val="00527D79"/>
    <w:rsid w:val="0053006D"/>
    <w:rsid w:val="00552A72"/>
    <w:rsid w:val="00552F9D"/>
    <w:rsid w:val="005537ED"/>
    <w:rsid w:val="00566AD2"/>
    <w:rsid w:val="00574163"/>
    <w:rsid w:val="005766C7"/>
    <w:rsid w:val="0058741D"/>
    <w:rsid w:val="00597495"/>
    <w:rsid w:val="005A04DA"/>
    <w:rsid w:val="005A7DC5"/>
    <w:rsid w:val="005B42B0"/>
    <w:rsid w:val="005B4331"/>
    <w:rsid w:val="005B6A03"/>
    <w:rsid w:val="005C14D7"/>
    <w:rsid w:val="005C1B2D"/>
    <w:rsid w:val="005C3A74"/>
    <w:rsid w:val="005E52EE"/>
    <w:rsid w:val="005E55F2"/>
    <w:rsid w:val="005F1418"/>
    <w:rsid w:val="0060793E"/>
    <w:rsid w:val="00624BBC"/>
    <w:rsid w:val="00626CF0"/>
    <w:rsid w:val="00632133"/>
    <w:rsid w:val="00633A50"/>
    <w:rsid w:val="0063529B"/>
    <w:rsid w:val="00657138"/>
    <w:rsid w:val="0066201A"/>
    <w:rsid w:val="0066418A"/>
    <w:rsid w:val="006806A7"/>
    <w:rsid w:val="00682372"/>
    <w:rsid w:val="0069011F"/>
    <w:rsid w:val="00696B3F"/>
    <w:rsid w:val="006B35D2"/>
    <w:rsid w:val="006C170D"/>
    <w:rsid w:val="006C3751"/>
    <w:rsid w:val="006C40E6"/>
    <w:rsid w:val="006C501A"/>
    <w:rsid w:val="006C61CE"/>
    <w:rsid w:val="006D3C78"/>
    <w:rsid w:val="006F2345"/>
    <w:rsid w:val="00704D67"/>
    <w:rsid w:val="00711A6E"/>
    <w:rsid w:val="0072094A"/>
    <w:rsid w:val="00727A32"/>
    <w:rsid w:val="00757381"/>
    <w:rsid w:val="007619D9"/>
    <w:rsid w:val="0077304F"/>
    <w:rsid w:val="00775005"/>
    <w:rsid w:val="00781F52"/>
    <w:rsid w:val="007A133A"/>
    <w:rsid w:val="007B41E7"/>
    <w:rsid w:val="007C0FAC"/>
    <w:rsid w:val="007C4688"/>
    <w:rsid w:val="007D1875"/>
    <w:rsid w:val="007D5A2F"/>
    <w:rsid w:val="007E3A74"/>
    <w:rsid w:val="007F2CE8"/>
    <w:rsid w:val="007F5EAE"/>
    <w:rsid w:val="008017D8"/>
    <w:rsid w:val="0080333A"/>
    <w:rsid w:val="00805A5C"/>
    <w:rsid w:val="0080710F"/>
    <w:rsid w:val="008149BD"/>
    <w:rsid w:val="0081568D"/>
    <w:rsid w:val="00831E3D"/>
    <w:rsid w:val="00832F12"/>
    <w:rsid w:val="00853742"/>
    <w:rsid w:val="00867742"/>
    <w:rsid w:val="00880126"/>
    <w:rsid w:val="0088215A"/>
    <w:rsid w:val="00882E64"/>
    <w:rsid w:val="00884208"/>
    <w:rsid w:val="008A0E61"/>
    <w:rsid w:val="008A5091"/>
    <w:rsid w:val="008B2966"/>
    <w:rsid w:val="008B7A3A"/>
    <w:rsid w:val="008D4FBD"/>
    <w:rsid w:val="008E50F4"/>
    <w:rsid w:val="008F2DA0"/>
    <w:rsid w:val="00904EA1"/>
    <w:rsid w:val="009116F1"/>
    <w:rsid w:val="00930D15"/>
    <w:rsid w:val="009326A3"/>
    <w:rsid w:val="00942548"/>
    <w:rsid w:val="009512B7"/>
    <w:rsid w:val="009549A7"/>
    <w:rsid w:val="0095519B"/>
    <w:rsid w:val="00956879"/>
    <w:rsid w:val="00960C16"/>
    <w:rsid w:val="009676EF"/>
    <w:rsid w:val="009746CF"/>
    <w:rsid w:val="0098605C"/>
    <w:rsid w:val="00986839"/>
    <w:rsid w:val="009B09E5"/>
    <w:rsid w:val="009C2147"/>
    <w:rsid w:val="009D1509"/>
    <w:rsid w:val="009E31A4"/>
    <w:rsid w:val="009E5FEE"/>
    <w:rsid w:val="00A04774"/>
    <w:rsid w:val="00A143EC"/>
    <w:rsid w:val="00A1628D"/>
    <w:rsid w:val="00A2282F"/>
    <w:rsid w:val="00A36CAB"/>
    <w:rsid w:val="00A45137"/>
    <w:rsid w:val="00A46680"/>
    <w:rsid w:val="00A5135D"/>
    <w:rsid w:val="00A61425"/>
    <w:rsid w:val="00A625FC"/>
    <w:rsid w:val="00A63619"/>
    <w:rsid w:val="00A70B6C"/>
    <w:rsid w:val="00A84ED9"/>
    <w:rsid w:val="00A95C06"/>
    <w:rsid w:val="00AA37A9"/>
    <w:rsid w:val="00AA59F7"/>
    <w:rsid w:val="00AA795B"/>
    <w:rsid w:val="00AB2105"/>
    <w:rsid w:val="00AB3ECA"/>
    <w:rsid w:val="00AC0590"/>
    <w:rsid w:val="00AC08D9"/>
    <w:rsid w:val="00AC78EA"/>
    <w:rsid w:val="00AD063B"/>
    <w:rsid w:val="00AE3D05"/>
    <w:rsid w:val="00AF0EC9"/>
    <w:rsid w:val="00AF2856"/>
    <w:rsid w:val="00AF6035"/>
    <w:rsid w:val="00B1000E"/>
    <w:rsid w:val="00B12B9A"/>
    <w:rsid w:val="00B144B1"/>
    <w:rsid w:val="00B20A3D"/>
    <w:rsid w:val="00B24C81"/>
    <w:rsid w:val="00B61D6D"/>
    <w:rsid w:val="00B7587D"/>
    <w:rsid w:val="00B80751"/>
    <w:rsid w:val="00B918F7"/>
    <w:rsid w:val="00B92F2E"/>
    <w:rsid w:val="00BA04EF"/>
    <w:rsid w:val="00BA5612"/>
    <w:rsid w:val="00BB4AD8"/>
    <w:rsid w:val="00BC23CC"/>
    <w:rsid w:val="00BC36D0"/>
    <w:rsid w:val="00BC6689"/>
    <w:rsid w:val="00BD5415"/>
    <w:rsid w:val="00BD54C4"/>
    <w:rsid w:val="00BF60CD"/>
    <w:rsid w:val="00C01FF2"/>
    <w:rsid w:val="00C04C38"/>
    <w:rsid w:val="00C07605"/>
    <w:rsid w:val="00C113ED"/>
    <w:rsid w:val="00C16E57"/>
    <w:rsid w:val="00C210AC"/>
    <w:rsid w:val="00C3052B"/>
    <w:rsid w:val="00C405F5"/>
    <w:rsid w:val="00C46A73"/>
    <w:rsid w:val="00C62AE5"/>
    <w:rsid w:val="00C672F9"/>
    <w:rsid w:val="00C87B9E"/>
    <w:rsid w:val="00CA028A"/>
    <w:rsid w:val="00CA29CE"/>
    <w:rsid w:val="00CB3A45"/>
    <w:rsid w:val="00CB5566"/>
    <w:rsid w:val="00CC53B3"/>
    <w:rsid w:val="00CD5680"/>
    <w:rsid w:val="00CD5855"/>
    <w:rsid w:val="00CF3428"/>
    <w:rsid w:val="00CF6307"/>
    <w:rsid w:val="00D0149E"/>
    <w:rsid w:val="00D07329"/>
    <w:rsid w:val="00D12F26"/>
    <w:rsid w:val="00D1536C"/>
    <w:rsid w:val="00D1727C"/>
    <w:rsid w:val="00D345FF"/>
    <w:rsid w:val="00D356AE"/>
    <w:rsid w:val="00D4401A"/>
    <w:rsid w:val="00D452C3"/>
    <w:rsid w:val="00D63006"/>
    <w:rsid w:val="00D630B4"/>
    <w:rsid w:val="00D74429"/>
    <w:rsid w:val="00DA01DE"/>
    <w:rsid w:val="00DA0838"/>
    <w:rsid w:val="00DA0FF8"/>
    <w:rsid w:val="00DB37EC"/>
    <w:rsid w:val="00DB548D"/>
    <w:rsid w:val="00DC3F61"/>
    <w:rsid w:val="00DD46E9"/>
    <w:rsid w:val="00DD49B2"/>
    <w:rsid w:val="00DE2561"/>
    <w:rsid w:val="00DF143E"/>
    <w:rsid w:val="00E01761"/>
    <w:rsid w:val="00E073DD"/>
    <w:rsid w:val="00E10EE5"/>
    <w:rsid w:val="00E13B5F"/>
    <w:rsid w:val="00E21802"/>
    <w:rsid w:val="00E25D0F"/>
    <w:rsid w:val="00E455E3"/>
    <w:rsid w:val="00E538F6"/>
    <w:rsid w:val="00E54A06"/>
    <w:rsid w:val="00E554F6"/>
    <w:rsid w:val="00E56134"/>
    <w:rsid w:val="00E74E2E"/>
    <w:rsid w:val="00E7721F"/>
    <w:rsid w:val="00E951AB"/>
    <w:rsid w:val="00EA6189"/>
    <w:rsid w:val="00EB123A"/>
    <w:rsid w:val="00EC0528"/>
    <w:rsid w:val="00EC0D5B"/>
    <w:rsid w:val="00EC1A50"/>
    <w:rsid w:val="00EC341A"/>
    <w:rsid w:val="00EC341F"/>
    <w:rsid w:val="00ED4243"/>
    <w:rsid w:val="00ED7224"/>
    <w:rsid w:val="00EE0FFD"/>
    <w:rsid w:val="00EF0B8A"/>
    <w:rsid w:val="00F009E9"/>
    <w:rsid w:val="00F011DD"/>
    <w:rsid w:val="00F03AD1"/>
    <w:rsid w:val="00F06574"/>
    <w:rsid w:val="00F06B62"/>
    <w:rsid w:val="00F21189"/>
    <w:rsid w:val="00F30AD0"/>
    <w:rsid w:val="00F31156"/>
    <w:rsid w:val="00F37170"/>
    <w:rsid w:val="00F57B61"/>
    <w:rsid w:val="00F6164C"/>
    <w:rsid w:val="00F713B6"/>
    <w:rsid w:val="00F74E2A"/>
    <w:rsid w:val="00F75311"/>
    <w:rsid w:val="00FC3F70"/>
    <w:rsid w:val="00FC56C0"/>
    <w:rsid w:val="00FD6704"/>
    <w:rsid w:val="00FE0306"/>
    <w:rsid w:val="00FF4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8795993">
          <w:marLeft w:val="252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37C66-EB08-4EA7-B21F-2B3E2764E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1166</TotalTime>
  <Pages>4</Pages>
  <Words>1744</Words>
  <Characters>9942</Characters>
  <Application>Microsoft Office Word</Application>
  <DocSecurity>0</DocSecurity>
  <Lines>82</Lines>
  <Paragraphs>23</Paragraphs>
  <ScaleCrop>false</ScaleCrop>
  <Company/>
  <LinksUpToDate>false</LinksUpToDate>
  <CharactersWithSpaces>11663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50</cp:revision>
  <dcterms:created xsi:type="dcterms:W3CDTF">2021-07-28T08:14:00Z</dcterms:created>
  <dcterms:modified xsi:type="dcterms:W3CDTF">2021-08-06T09:28:00Z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